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AF" w:rsidRPr="00E904AF" w:rsidRDefault="00E904AF" w:rsidP="00E904AF">
      <w:pPr>
        <w:jc w:val="center"/>
        <w:rPr>
          <w:b/>
          <w:sz w:val="23"/>
          <w:szCs w:val="23"/>
        </w:rPr>
      </w:pPr>
      <w:r w:rsidRPr="00E904AF">
        <w:rPr>
          <w:b/>
          <w:sz w:val="23"/>
          <w:szCs w:val="23"/>
        </w:rPr>
        <w:t xml:space="preserve">EMTS v3.0 </w:t>
      </w:r>
      <w:r w:rsidR="00AB456E" w:rsidRPr="00E904AF">
        <w:rPr>
          <w:b/>
          <w:sz w:val="23"/>
          <w:szCs w:val="23"/>
        </w:rPr>
        <w:t>Change Control Log</w:t>
      </w:r>
    </w:p>
    <w:p w:rsidR="00E904AF" w:rsidRDefault="00E904AF" w:rsidP="00E904AF">
      <w:p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List of Changes </w:t>
      </w:r>
    </w:p>
    <w:p w:rsidR="00E904AF" w:rsidRDefault="00E904AF" w:rsidP="00E904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following XSD changes </w:t>
      </w:r>
      <w:r w:rsidR="0005772A">
        <w:rPr>
          <w:sz w:val="23"/>
          <w:szCs w:val="23"/>
        </w:rPr>
        <w:t xml:space="preserve">have been </w:t>
      </w:r>
      <w:r>
        <w:rPr>
          <w:sz w:val="23"/>
          <w:szCs w:val="23"/>
        </w:rPr>
        <w:t>implemented</w:t>
      </w:r>
      <w:r w:rsidR="0005772A">
        <w:rPr>
          <w:sz w:val="23"/>
          <w:szCs w:val="23"/>
        </w:rPr>
        <w:t xml:space="preserve"> in EMTS Schema v3.0</w:t>
      </w:r>
      <w:r>
        <w:rPr>
          <w:sz w:val="23"/>
          <w:szCs w:val="23"/>
        </w:rPr>
        <w:t xml:space="preserve"> (see table below for more information): </w:t>
      </w:r>
    </w:p>
    <w:p w:rsidR="00E904AF" w:rsidRDefault="00E904AF" w:rsidP="00E904AF">
      <w:pPr>
        <w:pStyle w:val="Default"/>
        <w:rPr>
          <w:sz w:val="23"/>
          <w:szCs w:val="23"/>
        </w:rPr>
      </w:pPr>
    </w:p>
    <w:p w:rsidR="00E904AF" w:rsidRDefault="00E904AF" w:rsidP="00E904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A new data element entitled “QAPServiceTypeCode” will be required for Buy, Sell, Separate, Retire, and Generate transactions, and optional for Lock and Unlock transactions. This field will indicate the </w:t>
      </w:r>
      <w:r w:rsidR="005A5C18">
        <w:rPr>
          <w:sz w:val="23"/>
          <w:szCs w:val="23"/>
        </w:rPr>
        <w:t xml:space="preserve">QAP service level </w:t>
      </w:r>
      <w:r>
        <w:rPr>
          <w:sz w:val="23"/>
          <w:szCs w:val="23"/>
        </w:rPr>
        <w:t xml:space="preserve">associated with the RINs. The code options will be made available at a later date. </w:t>
      </w:r>
    </w:p>
    <w:p w:rsidR="00E904AF" w:rsidRDefault="00E904AF" w:rsidP="00E904AF">
      <w:pPr>
        <w:pStyle w:val="Default"/>
        <w:rPr>
          <w:sz w:val="23"/>
          <w:szCs w:val="23"/>
        </w:rPr>
      </w:pPr>
    </w:p>
    <w:p w:rsidR="00E904AF" w:rsidRDefault="00E904AF" w:rsidP="00E904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8F3243">
        <w:rPr>
          <w:sz w:val="23"/>
          <w:szCs w:val="23"/>
        </w:rPr>
        <w:t>A new data element entitled “Qap</w:t>
      </w:r>
      <w:r>
        <w:rPr>
          <w:sz w:val="23"/>
          <w:szCs w:val="23"/>
        </w:rPr>
        <w:t>ProviderOrganizationIdentifier” will be available (not required) for Lock and Unlock Transactions. This field will indicate the OTAQ Registration identifier of the organ</w:t>
      </w:r>
      <w:r w:rsidR="008F3243">
        <w:rPr>
          <w:sz w:val="23"/>
          <w:szCs w:val="23"/>
        </w:rPr>
        <w:t>ization that verified</w:t>
      </w:r>
      <w:r>
        <w:rPr>
          <w:sz w:val="23"/>
          <w:szCs w:val="23"/>
        </w:rPr>
        <w:t xml:space="preserve"> the RINs. </w:t>
      </w:r>
    </w:p>
    <w:p w:rsidR="00E904AF" w:rsidRDefault="00E904AF" w:rsidP="00E904AF">
      <w:pPr>
        <w:pStyle w:val="Default"/>
        <w:rPr>
          <w:sz w:val="23"/>
          <w:szCs w:val="23"/>
        </w:rPr>
      </w:pPr>
    </w:p>
    <w:p w:rsidR="00E904AF" w:rsidRDefault="00850E49" w:rsidP="00E904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</w:t>
      </w:r>
      <w:r w:rsidR="00E904AF">
        <w:rPr>
          <w:sz w:val="23"/>
          <w:szCs w:val="23"/>
        </w:rPr>
        <w:t xml:space="preserve">. An existing complex data type, entitled “OriginatingSourceDetail,” will be required for Lock and Unlock transactions (as LockOriginatingSourceDetail and UnlockOriginatingSourceDetail). This complex data type is comprised of the following elements: </w:t>
      </w:r>
    </w:p>
    <w:p w:rsidR="00E904AF" w:rsidRDefault="00E904AF" w:rsidP="00E904AF">
      <w:pPr>
        <w:pStyle w:val="Default"/>
        <w:rPr>
          <w:sz w:val="23"/>
          <w:szCs w:val="23"/>
        </w:rPr>
      </w:pPr>
    </w:p>
    <w:p w:rsidR="00E904AF" w:rsidRDefault="00E904AF" w:rsidP="0005772A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i. GenerateOrganizationIdentifier (this element is required for all Lock and Unlock transactions), </w:t>
      </w:r>
    </w:p>
    <w:p w:rsidR="00E904AF" w:rsidRDefault="00E904AF" w:rsidP="0005772A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ii. GenerateFacilityIdentifier (optional, but required if reporting BatchNumberText) and, </w:t>
      </w:r>
    </w:p>
    <w:p w:rsidR="00E904AF" w:rsidRDefault="00E904AF" w:rsidP="0005772A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iii. BatchNumberText (optional, but if this element is reported, both GenerateOrganizationIdentifier and GenerateFacilityIdentifier are required). </w:t>
      </w:r>
    </w:p>
    <w:p w:rsidR="00E904AF" w:rsidRDefault="00E904AF" w:rsidP="00E904AF">
      <w:pPr>
        <w:pStyle w:val="Default"/>
        <w:rPr>
          <w:sz w:val="23"/>
          <w:szCs w:val="23"/>
        </w:rPr>
      </w:pPr>
    </w:p>
    <w:p w:rsidR="00E904AF" w:rsidRDefault="00850E49" w:rsidP="00E904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</w:t>
      </w:r>
      <w:r w:rsidR="00E904AF">
        <w:rPr>
          <w:sz w:val="23"/>
          <w:szCs w:val="23"/>
        </w:rPr>
        <w:t xml:space="preserve">. Two new transaction types were added: Lock and Unlock. </w:t>
      </w:r>
    </w:p>
    <w:p w:rsidR="00E904AF" w:rsidRDefault="00E904AF" w:rsidP="00E904AF">
      <w:pPr>
        <w:pStyle w:val="Default"/>
        <w:rPr>
          <w:sz w:val="23"/>
          <w:szCs w:val="23"/>
        </w:rPr>
      </w:pPr>
    </w:p>
    <w:p w:rsidR="00E904AF" w:rsidRDefault="00850E49" w:rsidP="0005772A">
      <w:pPr>
        <w:pStyle w:val="Default"/>
      </w:pPr>
      <w:r>
        <w:rPr>
          <w:sz w:val="23"/>
          <w:szCs w:val="23"/>
        </w:rPr>
        <w:t>5</w:t>
      </w:r>
      <w:r w:rsidR="00E904AF">
        <w:rPr>
          <w:sz w:val="23"/>
          <w:szCs w:val="23"/>
        </w:rPr>
        <w:t xml:space="preserve">. The minimum value for Compliance Year and RIN Year is now 2010. </w:t>
      </w:r>
    </w:p>
    <w:tbl>
      <w:tblPr>
        <w:tblW w:w="13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1697"/>
        <w:gridCol w:w="2250"/>
        <w:gridCol w:w="2070"/>
        <w:gridCol w:w="1710"/>
        <w:gridCol w:w="1170"/>
        <w:gridCol w:w="4577"/>
      </w:tblGrid>
      <w:tr w:rsidR="00E904AF" w:rsidRPr="0009450D" w:rsidTr="0005772A">
        <w:trPr>
          <w:tblHeader/>
          <w:jc w:val="center"/>
        </w:trPr>
        <w:tc>
          <w:tcPr>
            <w:tcW w:w="1697" w:type="dxa"/>
            <w:shd w:val="clear" w:color="000000" w:fill="DBE5F1" w:themeFill="accent1" w:themeFillTint="33"/>
            <w:vAlign w:val="center"/>
          </w:tcPr>
          <w:p w:rsidR="00E904AF" w:rsidRPr="0009450D" w:rsidRDefault="00E904AF" w:rsidP="00E11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45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Type of Change</w:t>
            </w:r>
          </w:p>
        </w:tc>
        <w:tc>
          <w:tcPr>
            <w:tcW w:w="2250" w:type="dxa"/>
            <w:shd w:val="clear" w:color="000000" w:fill="DBE5F1" w:themeFill="accent1" w:themeFillTint="33"/>
            <w:noWrap/>
            <w:vAlign w:val="center"/>
            <w:hideMark/>
          </w:tcPr>
          <w:p w:rsidR="00E904AF" w:rsidRPr="0009450D" w:rsidRDefault="00E904AF" w:rsidP="00E11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45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New Element Name</w:t>
            </w:r>
          </w:p>
        </w:tc>
        <w:tc>
          <w:tcPr>
            <w:tcW w:w="2070" w:type="dxa"/>
            <w:shd w:val="clear" w:color="000000" w:fill="DBE5F1" w:themeFill="accent1" w:themeFillTint="33"/>
            <w:noWrap/>
            <w:vAlign w:val="center"/>
            <w:hideMark/>
          </w:tcPr>
          <w:p w:rsidR="00E904AF" w:rsidRPr="0009450D" w:rsidRDefault="00E904AF" w:rsidP="00E11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45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Old Element Name</w:t>
            </w:r>
          </w:p>
        </w:tc>
        <w:tc>
          <w:tcPr>
            <w:tcW w:w="1710" w:type="dxa"/>
            <w:shd w:val="clear" w:color="000000" w:fill="DBE5F1" w:themeFill="accent1" w:themeFillTint="33"/>
            <w:noWrap/>
            <w:vAlign w:val="center"/>
            <w:hideMark/>
          </w:tcPr>
          <w:p w:rsidR="00E904AF" w:rsidRPr="0009450D" w:rsidRDefault="00E904AF" w:rsidP="00E11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45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Type of Transaction(s) Affected</w:t>
            </w:r>
          </w:p>
        </w:tc>
        <w:tc>
          <w:tcPr>
            <w:tcW w:w="1170" w:type="dxa"/>
            <w:shd w:val="clear" w:color="000000" w:fill="DBE5F1" w:themeFill="accent1" w:themeFillTint="33"/>
            <w:noWrap/>
            <w:vAlign w:val="center"/>
            <w:hideMark/>
          </w:tcPr>
          <w:p w:rsidR="00E904AF" w:rsidRPr="0009450D" w:rsidRDefault="00E904AF" w:rsidP="00E11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45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Required Reporting</w:t>
            </w:r>
          </w:p>
          <w:p w:rsidR="00E904AF" w:rsidRPr="0009450D" w:rsidRDefault="00E904AF" w:rsidP="00E11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45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Element?</w:t>
            </w:r>
          </w:p>
        </w:tc>
        <w:tc>
          <w:tcPr>
            <w:tcW w:w="4577" w:type="dxa"/>
            <w:shd w:val="clear" w:color="000000" w:fill="DBE5F1" w:themeFill="accent1" w:themeFillTint="33"/>
            <w:vAlign w:val="center"/>
            <w:hideMark/>
          </w:tcPr>
          <w:p w:rsidR="00E904AF" w:rsidRPr="0009450D" w:rsidRDefault="00E904AF" w:rsidP="00E11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45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Description of Change</w:t>
            </w:r>
          </w:p>
        </w:tc>
      </w:tr>
      <w:tr w:rsidR="00E904AF" w:rsidRPr="0009450D" w:rsidTr="0005772A">
        <w:trPr>
          <w:trHeight w:val="2348"/>
          <w:jc w:val="center"/>
        </w:trPr>
        <w:tc>
          <w:tcPr>
            <w:tcW w:w="1697" w:type="dxa"/>
            <w:vMerge w:val="restart"/>
            <w:vAlign w:val="center"/>
          </w:tcPr>
          <w:p w:rsidR="00E904AF" w:rsidRPr="0009450D" w:rsidRDefault="00E904AF" w:rsidP="00E1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New required element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904AF" w:rsidRDefault="00E904AF" w:rsidP="00E1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QAPServiceType</w:t>
            </w:r>
          </w:p>
          <w:p w:rsidR="00E904AF" w:rsidRPr="0009450D" w:rsidRDefault="00E904AF" w:rsidP="00E1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E904AF" w:rsidRPr="0009450D" w:rsidRDefault="00E904AF" w:rsidP="00E1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E904AF" w:rsidRDefault="00E904AF" w:rsidP="00E1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Buy, Sell, </w:t>
            </w:r>
            <w:r w:rsidRPr="00094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Separate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94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Retire</w:t>
            </w:r>
          </w:p>
          <w:p w:rsidR="00E904AF" w:rsidRDefault="00E904AF" w:rsidP="00E1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Generate, Lock</w:t>
            </w:r>
          </w:p>
          <w:p w:rsidR="00E904AF" w:rsidRPr="0009450D" w:rsidRDefault="00E904AF" w:rsidP="00E1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Unlock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E904AF" w:rsidRPr="0009450D" w:rsidRDefault="00E904AF" w:rsidP="00E1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:rsidR="00E904AF" w:rsidRDefault="00E904AF" w:rsidP="00E1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These codes will be</w:t>
            </w:r>
            <w:r w:rsidRPr="007E71DF">
              <w:rPr>
                <w:rFonts w:ascii="Times New Roman" w:eastAsia="Times New Roman" w:hAnsi="Times New Roman" w:cs="Times New Roman"/>
                <w:color w:val="000000"/>
              </w:rPr>
              <w:t xml:space="preserve"> added to indicate the </w:t>
            </w:r>
            <w:r w:rsidR="005A5C18">
              <w:rPr>
                <w:rFonts w:ascii="Times New Roman" w:eastAsia="Times New Roman" w:hAnsi="Times New Roman" w:cs="Times New Roman"/>
                <w:color w:val="000000"/>
              </w:rPr>
              <w:t xml:space="preserve">QAP service </w:t>
            </w:r>
            <w:r w:rsidR="008F3243">
              <w:rPr>
                <w:rFonts w:ascii="Times New Roman" w:eastAsia="Times New Roman" w:hAnsi="Times New Roman" w:cs="Times New Roman"/>
                <w:color w:val="000000"/>
              </w:rPr>
              <w:t xml:space="preserve"> type </w:t>
            </w:r>
            <w:r w:rsidRPr="007E71DF">
              <w:rPr>
                <w:rFonts w:ascii="Times New Roman" w:eastAsia="Times New Roman" w:hAnsi="Times New Roman" w:cs="Times New Roman"/>
                <w:color w:val="000000"/>
              </w:rPr>
              <w:t xml:space="preserve">of </w:t>
            </w:r>
            <w:r w:rsidR="005A5C18">
              <w:rPr>
                <w:rFonts w:ascii="Times New Roman" w:eastAsia="Times New Roman" w:hAnsi="Times New Roman" w:cs="Times New Roman"/>
                <w:color w:val="000000"/>
              </w:rPr>
              <w:t xml:space="preserve">the </w:t>
            </w:r>
            <w:r w:rsidRPr="007E71DF">
              <w:rPr>
                <w:rFonts w:ascii="Times New Roman" w:eastAsia="Times New Roman" w:hAnsi="Times New Roman" w:cs="Times New Roman"/>
                <w:color w:val="000000"/>
              </w:rPr>
              <w:t>RIN</w:t>
            </w:r>
            <w:r w:rsidR="005A5C18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7E71DF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</w:p>
          <w:p w:rsidR="00E904AF" w:rsidRPr="007E71DF" w:rsidRDefault="00E904AF" w:rsidP="00E1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04AF" w:rsidRDefault="008F3243" w:rsidP="00E1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10 - RINs are verified</w:t>
            </w:r>
          </w:p>
          <w:p w:rsidR="008F3243" w:rsidRPr="0009450D" w:rsidRDefault="008F3243" w:rsidP="00E1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30 - RINs are not verified</w:t>
            </w:r>
          </w:p>
        </w:tc>
      </w:tr>
      <w:tr w:rsidR="00E904AF" w:rsidRPr="0009450D" w:rsidTr="0005772A">
        <w:trPr>
          <w:trHeight w:val="4346"/>
          <w:jc w:val="center"/>
        </w:trPr>
        <w:tc>
          <w:tcPr>
            <w:tcW w:w="1697" w:type="dxa"/>
            <w:vMerge/>
            <w:vAlign w:val="center"/>
          </w:tcPr>
          <w:p w:rsidR="00E904AF" w:rsidRDefault="00E904AF" w:rsidP="00E1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904AF" w:rsidRDefault="00E904AF" w:rsidP="00E1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Originating</w:t>
            </w:r>
          </w:p>
          <w:p w:rsidR="00E904AF" w:rsidRDefault="00E904AF" w:rsidP="00E1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SourceDetail </w:t>
            </w:r>
          </w:p>
          <w:p w:rsidR="00E904AF" w:rsidRDefault="00E904AF" w:rsidP="00E1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E904AF" w:rsidRDefault="00E904AF" w:rsidP="00E1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Originating</w:t>
            </w:r>
          </w:p>
          <w:p w:rsidR="00E904AF" w:rsidRDefault="00E904AF" w:rsidP="00E1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SourceDetail</w:t>
            </w:r>
          </w:p>
          <w:p w:rsidR="00E904AF" w:rsidRPr="0009450D" w:rsidRDefault="00E904AF" w:rsidP="00E1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E904AF" w:rsidRPr="0009450D" w:rsidRDefault="00E904AF" w:rsidP="00E1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Lock, Unlock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E904AF" w:rsidRDefault="00E904AF" w:rsidP="00E1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E904AF" w:rsidRDefault="00E904AF" w:rsidP="00E11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OriginatingSourceDetail will be required for Lock and Unlock transactions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 w:rsidRPr="00AF2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This complex data type is comprised of the following elements: GenerateOrganizationIdentifier (this element is required for all Lock and Unlock transactions), GenerateFacilityIdentif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AF2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 (optional, but required if reporting BatchNumberText) and,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2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BatchNumberText (optional, but if reported, GenerateOrganizationIdentifier and GenerateFacilityIdentif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AF2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er are required).  </w:t>
            </w:r>
          </w:p>
        </w:tc>
      </w:tr>
      <w:tr w:rsidR="008F3243" w:rsidRPr="0009450D" w:rsidTr="0005772A">
        <w:trPr>
          <w:trHeight w:val="836"/>
          <w:jc w:val="center"/>
        </w:trPr>
        <w:tc>
          <w:tcPr>
            <w:tcW w:w="1697" w:type="dxa"/>
            <w:vAlign w:val="center"/>
          </w:tcPr>
          <w:p w:rsidR="008F3243" w:rsidRDefault="008F3243" w:rsidP="00E1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optional element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8F3243" w:rsidRPr="004F7483" w:rsidRDefault="008F3243" w:rsidP="00E1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QapProviderOrganizationIdentifier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8F3243" w:rsidRPr="004F7483" w:rsidRDefault="008F3243" w:rsidP="00E1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F3243" w:rsidRPr="004F7483" w:rsidRDefault="008F3243" w:rsidP="00E1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Lock, Unlock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8F3243" w:rsidRPr="004F7483" w:rsidRDefault="008F3243" w:rsidP="00E1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8F3243" w:rsidRPr="004F7483" w:rsidRDefault="008F3243" w:rsidP="00E1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identifier of the RIN-validating organization can now be optionally specified in lock and unlock transactions.</w:t>
            </w:r>
          </w:p>
        </w:tc>
      </w:tr>
      <w:tr w:rsidR="00E904AF" w:rsidRPr="0009450D" w:rsidTr="0005772A">
        <w:trPr>
          <w:trHeight w:val="836"/>
          <w:jc w:val="center"/>
        </w:trPr>
        <w:tc>
          <w:tcPr>
            <w:tcW w:w="1697" w:type="dxa"/>
            <w:vMerge w:val="restart"/>
            <w:vAlign w:val="center"/>
          </w:tcPr>
          <w:p w:rsidR="00E904AF" w:rsidRPr="0009450D" w:rsidRDefault="00E904AF" w:rsidP="00E1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New transaction type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904AF" w:rsidRPr="004F7483" w:rsidRDefault="00E904AF" w:rsidP="00E1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E904AF" w:rsidRPr="004F7483" w:rsidRDefault="00E904AF" w:rsidP="00E1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904AF" w:rsidRPr="004F7483" w:rsidRDefault="00E904AF" w:rsidP="00E1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Lock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E904AF" w:rsidRPr="004F7483" w:rsidRDefault="00E904AF" w:rsidP="00E1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E904AF" w:rsidRPr="004F7483" w:rsidRDefault="00E904AF" w:rsidP="00E1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This is a new transaction type to allow users to ‘lock’ RIN batches via XML submission.</w:t>
            </w:r>
          </w:p>
        </w:tc>
      </w:tr>
      <w:tr w:rsidR="00E904AF" w:rsidRPr="0009450D" w:rsidTr="0005772A">
        <w:trPr>
          <w:trHeight w:val="1007"/>
          <w:jc w:val="center"/>
        </w:trPr>
        <w:tc>
          <w:tcPr>
            <w:tcW w:w="1697" w:type="dxa"/>
            <w:vMerge/>
            <w:vAlign w:val="center"/>
          </w:tcPr>
          <w:p w:rsidR="00E904AF" w:rsidRPr="0009450D" w:rsidRDefault="00E904AF" w:rsidP="00E1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904AF" w:rsidRPr="004F7483" w:rsidRDefault="00E904AF" w:rsidP="00E11885">
            <w:pPr>
              <w:rPr>
                <w:sz w:val="24"/>
                <w:szCs w:val="24"/>
              </w:rPr>
            </w:pPr>
            <w:r w:rsidRPr="004F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E904AF" w:rsidRPr="004F7483" w:rsidRDefault="00E904AF" w:rsidP="00E11885">
            <w:pPr>
              <w:rPr>
                <w:sz w:val="24"/>
                <w:szCs w:val="24"/>
              </w:rPr>
            </w:pPr>
            <w:r w:rsidRPr="004F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904AF" w:rsidRPr="004F7483" w:rsidRDefault="00E904AF" w:rsidP="00E1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Unlock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E904AF" w:rsidRPr="004F7483" w:rsidRDefault="00E904AF" w:rsidP="00E1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E904AF" w:rsidRPr="004F7483" w:rsidRDefault="00E904AF" w:rsidP="00E1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This is a new transaction type to allow users to ‘unlock’ RIN batches via XML submission.</w:t>
            </w:r>
          </w:p>
        </w:tc>
      </w:tr>
      <w:tr w:rsidR="00E904AF" w:rsidRPr="0009450D" w:rsidTr="0005772A">
        <w:trPr>
          <w:trHeight w:val="386"/>
          <w:jc w:val="center"/>
        </w:trPr>
        <w:tc>
          <w:tcPr>
            <w:tcW w:w="1697" w:type="dxa"/>
            <w:vMerge w:val="restart"/>
            <w:vAlign w:val="center"/>
          </w:tcPr>
          <w:p w:rsidR="00E904AF" w:rsidRDefault="00E904AF" w:rsidP="00E1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 minimum value for element</w:t>
            </w:r>
          </w:p>
          <w:p w:rsidR="00E904AF" w:rsidRPr="0009450D" w:rsidRDefault="00E904AF" w:rsidP="00E1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904AF" w:rsidRPr="004F7483" w:rsidRDefault="00E904AF" w:rsidP="00E11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ComplianceYear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E904AF" w:rsidRPr="004F7483" w:rsidRDefault="00E904AF" w:rsidP="00E11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ComplianceYear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904AF" w:rsidRPr="004F7483" w:rsidRDefault="00E904AF" w:rsidP="00E1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Retire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E904AF" w:rsidRPr="004F7483" w:rsidRDefault="00E904AF" w:rsidP="00E1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E904AF" w:rsidRPr="004F7483" w:rsidRDefault="00E904AF" w:rsidP="00E1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Value must now be between 2010 and 9999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904AF" w:rsidRPr="0009450D" w:rsidTr="0005772A">
        <w:trPr>
          <w:trHeight w:val="386"/>
          <w:jc w:val="center"/>
        </w:trPr>
        <w:tc>
          <w:tcPr>
            <w:tcW w:w="1697" w:type="dxa"/>
            <w:vMerge/>
            <w:vAlign w:val="center"/>
          </w:tcPr>
          <w:p w:rsidR="00E904AF" w:rsidRDefault="00E904AF" w:rsidP="00E1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904AF" w:rsidRPr="004F7483" w:rsidRDefault="00E904AF" w:rsidP="00E11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RINYear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E904AF" w:rsidRPr="004F7483" w:rsidRDefault="00E904AF" w:rsidP="00E11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RINYear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904AF" w:rsidRPr="004F7483" w:rsidRDefault="00E904AF" w:rsidP="00E1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Buy, Sell, Separate, Retire, Lock, Unlock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E904AF" w:rsidRPr="004F7483" w:rsidRDefault="00E904AF" w:rsidP="00E1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E904AF" w:rsidRDefault="00E904AF" w:rsidP="00E1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Value must now be between 2010 and 9999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904AF" w:rsidRDefault="00E904AF" w:rsidP="00E11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B456E" w:rsidRDefault="00AB456E"/>
    <w:sectPr w:rsidR="00AB456E" w:rsidSect="00E904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/>
  <w:defaultTabStop w:val="720"/>
  <w:characterSpacingControl w:val="doNotCompress"/>
  <w:compat/>
  <w:rsids>
    <w:rsidRoot w:val="00344B18"/>
    <w:rsid w:val="00035C22"/>
    <w:rsid w:val="0005772A"/>
    <w:rsid w:val="001110E4"/>
    <w:rsid w:val="002913C4"/>
    <w:rsid w:val="00344B18"/>
    <w:rsid w:val="00510098"/>
    <w:rsid w:val="005A5C18"/>
    <w:rsid w:val="00850E49"/>
    <w:rsid w:val="008F3243"/>
    <w:rsid w:val="00AB456E"/>
    <w:rsid w:val="00AC4B77"/>
    <w:rsid w:val="00E904AF"/>
    <w:rsid w:val="00EF28F8"/>
    <w:rsid w:val="00FE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04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04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pqa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 Rogers</dc:creator>
  <cp:lastModifiedBy>orejudosw</cp:lastModifiedBy>
  <cp:revision>3</cp:revision>
  <dcterms:created xsi:type="dcterms:W3CDTF">2014-09-18T13:54:00Z</dcterms:created>
  <dcterms:modified xsi:type="dcterms:W3CDTF">2014-09-29T16:46:00Z</dcterms:modified>
</cp:coreProperties>
</file>