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F2B" w:rsidRDefault="00D90F2B" w14:paraId="4E32BAE6" w14:textId="77777777">
      <w:pPr>
        <w:jc w:val="center"/>
        <w:rPr>
          <w:b/>
          <w:sz w:val="28"/>
          <w:szCs w:val="28"/>
        </w:rPr>
      </w:pPr>
      <w:r>
        <w:rPr>
          <w:b/>
          <w:sz w:val="28"/>
          <w:szCs w:val="28"/>
        </w:rPr>
        <w:t xml:space="preserve">Model Memorandum of Agreement Between [State </w:t>
      </w:r>
      <w:r w:rsidR="00D22B78">
        <w:rPr>
          <w:b/>
          <w:sz w:val="28"/>
          <w:szCs w:val="28"/>
        </w:rPr>
        <w:t>or T</w:t>
      </w:r>
      <w:r w:rsidR="0082247C">
        <w:rPr>
          <w:b/>
          <w:sz w:val="28"/>
          <w:szCs w:val="28"/>
        </w:rPr>
        <w:t>erritor</w:t>
      </w:r>
      <w:r w:rsidR="00AB4480">
        <w:rPr>
          <w:b/>
          <w:sz w:val="28"/>
          <w:szCs w:val="28"/>
        </w:rPr>
        <w:t xml:space="preserve">ial </w:t>
      </w:r>
      <w:r w:rsidR="00D22B78">
        <w:rPr>
          <w:b/>
          <w:sz w:val="28"/>
          <w:szCs w:val="28"/>
        </w:rPr>
        <w:t>A</w:t>
      </w:r>
      <w:r w:rsidR="00AB4480">
        <w:rPr>
          <w:b/>
          <w:sz w:val="28"/>
          <w:szCs w:val="28"/>
        </w:rPr>
        <w:t>gency</w:t>
      </w:r>
      <w:r>
        <w:rPr>
          <w:b/>
          <w:sz w:val="28"/>
          <w:szCs w:val="28"/>
        </w:rPr>
        <w:t xml:space="preserve">] and the US Environmental Protection Agency </w:t>
      </w:r>
    </w:p>
    <w:p w:rsidR="00D90F2B" w:rsidRDefault="00D90F2B" w14:paraId="0B38F215" w14:textId="77777777">
      <w:pPr>
        <w:jc w:val="center"/>
        <w:rPr>
          <w:b/>
          <w:sz w:val="28"/>
          <w:szCs w:val="28"/>
        </w:rPr>
      </w:pPr>
      <w:r>
        <w:rPr>
          <w:b/>
          <w:sz w:val="28"/>
          <w:szCs w:val="28"/>
        </w:rPr>
        <w:t xml:space="preserve">for </w:t>
      </w:r>
      <w:r w:rsidR="003868B6">
        <w:rPr>
          <w:b/>
          <w:sz w:val="28"/>
          <w:szCs w:val="28"/>
        </w:rPr>
        <w:t>the</w:t>
      </w:r>
      <w:r w:rsidR="00FA2EED">
        <w:rPr>
          <w:b/>
          <w:sz w:val="28"/>
          <w:szCs w:val="28"/>
        </w:rPr>
        <w:t xml:space="preserve"> </w:t>
      </w:r>
      <w:r w:rsidR="003868B6">
        <w:rPr>
          <w:b/>
          <w:sz w:val="28"/>
          <w:szCs w:val="28"/>
        </w:rPr>
        <w:t>T</w:t>
      </w:r>
      <w:r>
        <w:rPr>
          <w:b/>
          <w:sz w:val="28"/>
          <w:szCs w:val="28"/>
        </w:rPr>
        <w:t>RI</w:t>
      </w:r>
      <w:r w:rsidR="00BA69E9">
        <w:rPr>
          <w:b/>
          <w:sz w:val="28"/>
          <w:szCs w:val="28"/>
        </w:rPr>
        <w:t xml:space="preserve"> </w:t>
      </w:r>
      <w:r>
        <w:rPr>
          <w:b/>
          <w:sz w:val="28"/>
          <w:szCs w:val="28"/>
        </w:rPr>
        <w:t>Data Exchange</w:t>
      </w:r>
    </w:p>
    <w:p w:rsidR="00D90F2B" w:rsidRDefault="00D90F2B" w14:paraId="22ABD204" w14:textId="77777777">
      <w:pPr>
        <w:jc w:val="center"/>
        <w:rPr>
          <w:b/>
          <w:sz w:val="28"/>
          <w:szCs w:val="28"/>
        </w:rPr>
      </w:pPr>
    </w:p>
    <w:p w:rsidRPr="00680EE2" w:rsidR="00D90F2B" w:rsidRDefault="00680EE2" w14:paraId="34A4BABF" w14:textId="77777777">
      <w:pPr>
        <w:rPr>
          <w:b/>
        </w:rPr>
      </w:pPr>
      <w:r>
        <w:rPr>
          <w:b/>
        </w:rPr>
        <w:t>1.  Overview – Exchange of TRI Data</w:t>
      </w:r>
    </w:p>
    <w:p w:rsidR="00D90F2B" w:rsidRDefault="00D90F2B" w14:paraId="2E9CFC51" w14:textId="77777777"/>
    <w:p w:rsidR="00D90F2B" w:rsidRDefault="00D90F2B" w14:paraId="57887B7A" w14:textId="5354EFE9">
      <w:r>
        <w:t>This agreement is a voluntary agreement between [state</w:t>
      </w:r>
      <w:r w:rsidR="002E0ECD">
        <w:t>, tribal,</w:t>
      </w:r>
      <w:r>
        <w:t xml:space="preserve"> </w:t>
      </w:r>
      <w:r w:rsidR="00570938">
        <w:t xml:space="preserve">or territorial </w:t>
      </w:r>
      <w:r>
        <w:t>agency], hereinafter referred to as</w:t>
      </w:r>
      <w:r w:rsidR="00847E6A">
        <w:t xml:space="preserve"> the State</w:t>
      </w:r>
      <w:r>
        <w:t xml:space="preserve">, and the US Environmental Protection Agency, with the US Environmental Protection Agency </w:t>
      </w:r>
      <w:r w:rsidRPr="00DF7BB3">
        <w:t>Toxic</w:t>
      </w:r>
      <w:r>
        <w:t xml:space="preserve">s </w:t>
      </w:r>
      <w:r w:rsidRPr="00DF7BB3">
        <w:t xml:space="preserve">Release Inventory </w:t>
      </w:r>
      <w:r w:rsidR="00334AF2">
        <w:t xml:space="preserve">(TRI) </w:t>
      </w:r>
      <w:r w:rsidRPr="00DF7BB3">
        <w:t>Program Division</w:t>
      </w:r>
      <w:r>
        <w:t xml:space="preserve"> acting as a representative for the Agency and hereinafter referred to as EPA, for the exchange of Toxics Release Inventory data via the National Environmental Information Exchange Network, hereinafter referred to as the Exchange Network.</w:t>
      </w:r>
    </w:p>
    <w:p w:rsidR="00D90F2B" w:rsidRDefault="00D90F2B" w14:paraId="29F5DF2C" w14:textId="77777777"/>
    <w:p w:rsidRPr="0024362F" w:rsidR="0024362F" w:rsidRDefault="0024362F" w14:paraId="587F6B62" w14:textId="77777777">
      <w:r>
        <w:rPr>
          <w:b/>
        </w:rPr>
        <w:t>2</w:t>
      </w:r>
      <w:proofErr w:type="gramStart"/>
      <w:r>
        <w:rPr>
          <w:b/>
        </w:rPr>
        <w:t>.  Purpose</w:t>
      </w:r>
      <w:proofErr w:type="gramEnd"/>
    </w:p>
    <w:p w:rsidR="00D90F2B" w:rsidRDefault="00D90F2B" w14:paraId="2B47649F" w14:textId="77777777"/>
    <w:p w:rsidR="005A1D7A" w:rsidRDefault="00D90F2B" w14:paraId="3D40E1E0" w14:textId="655C1ED7">
      <w:r>
        <w:t xml:space="preserve">The purpose of this Memorandum of Agreement (MOA) is to outline the specific roles and responsibilities between </w:t>
      </w:r>
      <w:r w:rsidR="00495971">
        <w:t>the State</w:t>
      </w:r>
      <w:r>
        <w:t xml:space="preserve"> and EPA for the purposes of successfully transmitting</w:t>
      </w:r>
      <w:r w:rsidR="00465B52">
        <w:t xml:space="preserve"> TRI data </w:t>
      </w:r>
      <w:r>
        <w:t xml:space="preserve">via the </w:t>
      </w:r>
      <w:r w:rsidR="00D205A6">
        <w:t>E</w:t>
      </w:r>
      <w:r>
        <w:t xml:space="preserve">xchange </w:t>
      </w:r>
      <w:r w:rsidR="00D205A6">
        <w:t>N</w:t>
      </w:r>
      <w:r>
        <w:t>etwork</w:t>
      </w:r>
      <w:r w:rsidR="00465B52">
        <w:t xml:space="preserve">. </w:t>
      </w:r>
      <w:r w:rsidR="00D128A6">
        <w:t xml:space="preserve">This MOA addresses facility </w:t>
      </w:r>
      <w:r w:rsidR="0087747B">
        <w:t>reports filed electronically u</w:t>
      </w:r>
      <w:r w:rsidRPr="0087747B" w:rsidR="0087747B">
        <w:rPr>
          <w:sz w:val="22"/>
          <w:szCs w:val="22"/>
        </w:rPr>
        <w:t xml:space="preserve">sing </w:t>
      </w:r>
      <w:r w:rsidRPr="0087747B" w:rsidR="0087747B">
        <w:t>EPA's Central Data E</w:t>
      </w:r>
      <w:r w:rsidR="0087747B">
        <w:t xml:space="preserve">xchange (CDX), where reports are </w:t>
      </w:r>
      <w:r w:rsidRPr="0087747B" w:rsidR="0087747B">
        <w:t>accept</w:t>
      </w:r>
      <w:r w:rsidR="0087747B">
        <w:t>ed</w:t>
      </w:r>
      <w:r w:rsidRPr="0087747B" w:rsidR="0087747B">
        <w:t xml:space="preserve"> and simultaneously transmit</w:t>
      </w:r>
      <w:r w:rsidR="0087747B">
        <w:t>ted</w:t>
      </w:r>
      <w:r w:rsidRPr="0087747B" w:rsidR="0087747B">
        <w:t xml:space="preserve"> to </w:t>
      </w:r>
      <w:r w:rsidR="0087747B">
        <w:t xml:space="preserve">participating </w:t>
      </w:r>
      <w:r w:rsidR="00E559C6">
        <w:t>S</w:t>
      </w:r>
      <w:r w:rsidRPr="0087747B" w:rsidR="0087747B">
        <w:t>tates</w:t>
      </w:r>
      <w:r w:rsidR="0087747B">
        <w:t>. R</w:t>
      </w:r>
      <w:r w:rsidR="00CB2633">
        <w:t>ep</w:t>
      </w:r>
      <w:r w:rsidRPr="0087747B" w:rsidR="0087747B">
        <w:t xml:space="preserve">orts filed in this manner represent a facility's official submission to both EPA and the </w:t>
      </w:r>
      <w:r w:rsidR="00E559C6">
        <w:t>S</w:t>
      </w:r>
      <w:r w:rsidRPr="0087747B" w:rsidR="0087747B">
        <w:t xml:space="preserve">tate.  </w:t>
      </w:r>
    </w:p>
    <w:p w:rsidR="00D90F2B" w:rsidRDefault="00D90F2B" w14:paraId="7D26212B" w14:textId="77777777">
      <w:r>
        <w:t>This agreement does not supersede an</w:t>
      </w:r>
      <w:r w:rsidR="00BF2436">
        <w:t>y existing agreement between the State</w:t>
      </w:r>
      <w:r>
        <w:t xml:space="preserve"> and EPA, nor any future Memora</w:t>
      </w:r>
      <w:r w:rsidR="00BF2436">
        <w:t>nda of Understanding between the State</w:t>
      </w:r>
      <w:r>
        <w:t xml:space="preserve"> and EPA.  </w:t>
      </w:r>
    </w:p>
    <w:p w:rsidR="00D90F2B" w:rsidRDefault="00D90F2B" w14:paraId="3AD363CF" w14:textId="77777777"/>
    <w:p w:rsidRPr="00C0593C" w:rsidR="00C0593C" w:rsidRDefault="00C0593C" w14:paraId="5AA8D955" w14:textId="77777777">
      <w:pPr>
        <w:rPr>
          <w:b/>
          <w:sz w:val="26"/>
          <w:szCs w:val="26"/>
        </w:rPr>
      </w:pPr>
      <w:r>
        <w:rPr>
          <w:b/>
          <w:sz w:val="26"/>
          <w:szCs w:val="26"/>
        </w:rPr>
        <w:t>3</w:t>
      </w:r>
      <w:proofErr w:type="gramStart"/>
      <w:r>
        <w:rPr>
          <w:b/>
          <w:sz w:val="26"/>
          <w:szCs w:val="26"/>
        </w:rPr>
        <w:t>.  Background</w:t>
      </w:r>
      <w:proofErr w:type="gramEnd"/>
    </w:p>
    <w:p w:rsidR="00D90F2B" w:rsidRDefault="00D90F2B" w14:paraId="1AA6899E" w14:textId="77777777"/>
    <w:p w:rsidR="00F03FAE" w:rsidP="00F03FAE" w:rsidRDefault="00D90F2B" w14:paraId="01FA2FEB" w14:textId="1117FE3F">
      <w:r w:rsidR="00D90F2B">
        <w:rPr/>
        <w:t xml:space="preserve">In 1986, the Emergency Planning and Community Right-to-Know Act was enacted including Section 313, which created </w:t>
      </w:r>
      <w:r w:rsidR="006052E8">
        <w:rPr/>
        <w:t>TRI</w:t>
      </w:r>
      <w:r w:rsidR="00D90F2B">
        <w:rPr/>
        <w:t xml:space="preserve">.  </w:t>
      </w:r>
      <w:r w:rsidR="00D90F2B">
        <w:rPr/>
        <w:t xml:space="preserve">Under Section 313(a) of EPCRA, certain covered facilities </w:t>
      </w:r>
      <w:r w:rsidR="00D90F2B">
        <w:rPr/>
        <w:t>are required to</w:t>
      </w:r>
      <w:r w:rsidR="00D90F2B">
        <w:rPr/>
        <w:t xml:space="preserve"> </w:t>
      </w:r>
      <w:r w:rsidR="00D90F2B">
        <w:rPr/>
        <w:t>submit</w:t>
      </w:r>
      <w:r w:rsidR="00D90F2B">
        <w:rPr/>
        <w:t xml:space="preserve"> annual toxic chemical release forms to EPA and to “an official or officials of the State designated by the Governor.”  42 USC § 11023(a)</w:t>
      </w:r>
      <w:r w:rsidR="00D90F2B">
        <w:rPr/>
        <w:t xml:space="preserve">. </w:t>
      </w:r>
      <w:r w:rsidR="00CD4531">
        <w:rPr/>
        <w:t xml:space="preserve"> </w:t>
      </w:r>
      <w:r w:rsidR="00F03FAE">
        <w:rPr/>
        <w:t>EPCRA requires that EPA “establish and maintain in a computer data base a national toxic chemical inventory based on data submitted … under this section.”  42 USC § 11023(j)</w:t>
      </w:r>
      <w:r w:rsidR="00F03FAE">
        <w:rPr/>
        <w:t xml:space="preserve">. </w:t>
      </w:r>
      <w:r w:rsidR="006052E8">
        <w:rPr/>
        <w:t xml:space="preserve"> </w:t>
      </w:r>
      <w:r w:rsidR="00F03FAE">
        <w:rPr/>
        <w:t xml:space="preserve">EPCRA is silent as to what </w:t>
      </w:r>
      <w:r w:rsidR="006052E8">
        <w:rPr/>
        <w:t>S</w:t>
      </w:r>
      <w:r w:rsidR="00F03FAE">
        <w:rPr/>
        <w:t>tate recipients of TRI data should do with TRI</w:t>
      </w:r>
      <w:r w:rsidR="75F55FC6">
        <w:rPr/>
        <w:t xml:space="preserve"> </w:t>
      </w:r>
      <w:r w:rsidR="00F03FAE">
        <w:rPr/>
        <w:t>data</w:t>
      </w:r>
      <w:r w:rsidR="00F03FAE">
        <w:rPr/>
        <w:t xml:space="preserve"> but individual </w:t>
      </w:r>
      <w:r w:rsidR="006052E8">
        <w:rPr/>
        <w:t>S</w:t>
      </w:r>
      <w:r w:rsidR="00F03FAE">
        <w:rPr/>
        <w:t xml:space="preserve">tates may have </w:t>
      </w:r>
      <w:r w:rsidR="006052E8">
        <w:rPr/>
        <w:t>S</w:t>
      </w:r>
      <w:r w:rsidR="00F03FAE">
        <w:rPr/>
        <w:t xml:space="preserve">tate laws or policies that govern the use of TRI data received by </w:t>
      </w:r>
      <w:r w:rsidR="00495971">
        <w:rPr/>
        <w:t>the State</w:t>
      </w:r>
      <w:r w:rsidR="00F03FAE">
        <w:rPr/>
        <w:t>.</w:t>
      </w:r>
    </w:p>
    <w:p w:rsidR="00F03FAE" w:rsidRDefault="00F03FAE" w14:paraId="760D02B7" w14:textId="77777777"/>
    <w:p w:rsidR="00D90F2B" w:rsidRDefault="00D90F2B" w14:paraId="27FC6726" w14:textId="2A0BD959">
      <w:r>
        <w:t xml:space="preserve">When submitting TRI data, TRI facilities </w:t>
      </w:r>
      <w:r w:rsidR="00AD2821">
        <w:t>submit through CDX (via TRI-ME</w:t>
      </w:r>
      <w:r w:rsidR="003665B9">
        <w:t>web</w:t>
      </w:r>
      <w:r w:rsidR="00AD2821">
        <w:t>)</w:t>
      </w:r>
      <w:r w:rsidR="00717906">
        <w:t>.  When</w:t>
      </w:r>
      <w:r w:rsidR="00AD2821">
        <w:t xml:space="preserve"> the facility’s </w:t>
      </w:r>
      <w:r w:rsidR="003665B9">
        <w:t xml:space="preserve">State </w:t>
      </w:r>
      <w:r w:rsidR="00AD2821">
        <w:t>is a participant in the TRI</w:t>
      </w:r>
      <w:r w:rsidR="00E47197">
        <w:t xml:space="preserve"> </w:t>
      </w:r>
      <w:r w:rsidR="00AD2821">
        <w:t>Data Exchange,</w:t>
      </w:r>
      <w:r w:rsidR="00D369D7">
        <w:t xml:space="preserve"> the facility’s data </w:t>
      </w:r>
      <w:r w:rsidR="00306B7B">
        <w:t xml:space="preserve">are </w:t>
      </w:r>
      <w:r w:rsidR="00D369D7">
        <w:t xml:space="preserve">simultaneously submitted to both EPA and the </w:t>
      </w:r>
      <w:r w:rsidR="003665B9">
        <w:t xml:space="preserve">State </w:t>
      </w:r>
      <w:r w:rsidR="00D369D7">
        <w:t>and</w:t>
      </w:r>
      <w:r w:rsidR="00AD2821">
        <w:t xml:space="preserve"> the facility’s statutory duty has been met.</w:t>
      </w:r>
    </w:p>
    <w:p w:rsidR="002A29A7" w:rsidRDefault="002A29A7" w14:paraId="6A8F015C" w14:textId="77777777"/>
    <w:p w:rsidRPr="00C0593C" w:rsidR="00C0593C" w:rsidRDefault="00C0593C" w14:paraId="190DE7F6" w14:textId="77777777">
      <w:pPr>
        <w:rPr>
          <w:b/>
        </w:rPr>
      </w:pPr>
      <w:r>
        <w:rPr>
          <w:b/>
        </w:rPr>
        <w:t>4</w:t>
      </w:r>
      <w:proofErr w:type="gramStart"/>
      <w:r>
        <w:rPr>
          <w:b/>
        </w:rPr>
        <w:t>.  Participant</w:t>
      </w:r>
      <w:proofErr w:type="gramEnd"/>
      <w:r>
        <w:rPr>
          <w:b/>
        </w:rPr>
        <w:t xml:space="preserve"> Responsibilities</w:t>
      </w:r>
    </w:p>
    <w:p w:rsidR="00A50FB4" w:rsidP="00A50FB4" w:rsidRDefault="00A50FB4" w14:paraId="458882F6" w14:textId="77777777"/>
    <w:p w:rsidRPr="00D5223B" w:rsidR="00D5223B" w:rsidP="00A50FB4" w:rsidRDefault="00D5223B" w14:paraId="2114F2DB" w14:textId="77777777">
      <w:pPr>
        <w:rPr>
          <w:b/>
        </w:rPr>
      </w:pPr>
      <w:r>
        <w:rPr>
          <w:b/>
        </w:rPr>
        <w:t>4.1.  Data Exchange Mechanism and Schedule</w:t>
      </w:r>
    </w:p>
    <w:p w:rsidR="00A50FB4" w:rsidP="00A50FB4" w:rsidRDefault="00A50FB4" w14:paraId="3BB58D15" w14:textId="77777777"/>
    <w:p w:rsidRPr="00D5223B" w:rsidR="00D5223B" w:rsidP="00A50FB4" w:rsidRDefault="00D5223B" w14:paraId="3EF22A15" w14:textId="77777777">
      <w:pPr>
        <w:rPr>
          <w:b/>
        </w:rPr>
      </w:pPr>
      <w:r>
        <w:rPr>
          <w:b/>
        </w:rPr>
        <w:t>4.1.1.  Submission of Reports by Reporting Facilities</w:t>
      </w:r>
    </w:p>
    <w:p w:rsidR="00FB251E" w:rsidP="00A50FB4" w:rsidRDefault="00FB251E" w14:paraId="6B453E18" w14:textId="77777777">
      <w:pPr>
        <w:rPr>
          <w:b/>
        </w:rPr>
      </w:pPr>
    </w:p>
    <w:p w:rsidR="0082247C" w:rsidP="0082247C" w:rsidRDefault="0082247C" w14:paraId="5A6C1015" w14:textId="09B24B9E">
      <w:r>
        <w:t xml:space="preserve">TRI facilities </w:t>
      </w:r>
      <w:r w:rsidR="005D3ADF">
        <w:t>must</w:t>
      </w:r>
      <w:r>
        <w:t xml:space="preserve"> submit or re</w:t>
      </w:r>
      <w:r w:rsidR="00877CA6">
        <w:t>vise TRI reports to EPA via CDX</w:t>
      </w:r>
      <w:r w:rsidR="005D3ADF">
        <w:t xml:space="preserve"> unless they </w:t>
      </w:r>
      <w:proofErr w:type="gramStart"/>
      <w:r w:rsidR="005D3ADF">
        <w:t>are making</w:t>
      </w:r>
      <w:proofErr w:type="gramEnd"/>
      <w:r w:rsidR="005D3ADF">
        <w:t xml:space="preserve"> a trade secret claim</w:t>
      </w:r>
      <w:r w:rsidR="00877CA6">
        <w:t xml:space="preserve">.  </w:t>
      </w:r>
      <w:r>
        <w:t>Revisions to TRI reports</w:t>
      </w:r>
      <w:r w:rsidR="009C152E">
        <w:t xml:space="preserve"> from </w:t>
      </w:r>
      <w:r w:rsidR="00D01015">
        <w:t>RY</w:t>
      </w:r>
      <w:r w:rsidR="009C152E">
        <w:t xml:space="preserve"> 2004</w:t>
      </w:r>
      <w:r>
        <w:t xml:space="preserve"> onward are processed through the TRI Data Exchange.  </w:t>
      </w:r>
      <w:r w:rsidR="00D01015">
        <w:t>Revisions to TRI reports prior to RY 200</w:t>
      </w:r>
      <w:r w:rsidR="003F52BD">
        <w:t>4</w:t>
      </w:r>
      <w:r w:rsidR="00D01015">
        <w:t xml:space="preserve"> are not processed through the TRI Data Exchange</w:t>
      </w:r>
      <w:r w:rsidR="00EF7C7B">
        <w:t xml:space="preserve"> because the </w:t>
      </w:r>
      <w:r w:rsidR="00EF7C7B">
        <w:rPr>
          <w:color w:val="000000"/>
        </w:rPr>
        <w:t xml:space="preserve">TRI XML </w:t>
      </w:r>
      <w:proofErr w:type="gramStart"/>
      <w:r w:rsidR="00EF7C7B">
        <w:rPr>
          <w:color w:val="000000"/>
        </w:rPr>
        <w:t>schema</w:t>
      </w:r>
      <w:proofErr w:type="gramEnd"/>
      <w:r w:rsidR="00EF7C7B">
        <w:rPr>
          <w:color w:val="000000"/>
        </w:rPr>
        <w:t xml:space="preserve"> </w:t>
      </w:r>
      <w:r w:rsidR="00952875">
        <w:rPr>
          <w:color w:val="000000"/>
        </w:rPr>
        <w:t xml:space="preserve">used in the TRI Data Exchange </w:t>
      </w:r>
      <w:r w:rsidR="00B84A79">
        <w:rPr>
          <w:color w:val="000000"/>
        </w:rPr>
        <w:t xml:space="preserve">is only compatible </w:t>
      </w:r>
      <w:r w:rsidR="00161E86">
        <w:rPr>
          <w:color w:val="000000"/>
        </w:rPr>
        <w:t>with</w:t>
      </w:r>
      <w:r w:rsidR="000C196B">
        <w:rPr>
          <w:color w:val="000000"/>
        </w:rPr>
        <w:t xml:space="preserve"> </w:t>
      </w:r>
      <w:r w:rsidR="00161E86">
        <w:rPr>
          <w:color w:val="000000"/>
        </w:rPr>
        <w:t>TRI data from</w:t>
      </w:r>
      <w:r w:rsidR="00B84A79">
        <w:rPr>
          <w:color w:val="000000"/>
        </w:rPr>
        <w:t xml:space="preserve"> </w:t>
      </w:r>
      <w:r w:rsidR="0093141F">
        <w:rPr>
          <w:color w:val="000000"/>
        </w:rPr>
        <w:t>RY 2004 onward.</w:t>
      </w:r>
      <w:r w:rsidR="00B84A79">
        <w:rPr>
          <w:color w:val="000000"/>
        </w:rPr>
        <w:t xml:space="preserve">  </w:t>
      </w:r>
      <w:r w:rsidR="00EF7C7B">
        <w:rPr>
          <w:color w:val="000000"/>
        </w:rPr>
        <w:t xml:space="preserve">  </w:t>
      </w:r>
    </w:p>
    <w:p w:rsidR="00A50FB4" w:rsidP="00A50FB4" w:rsidRDefault="00A50FB4" w14:paraId="003697F5" w14:textId="52DE21A4">
      <w:r>
        <w:t>The data are initially submitted by a facility reporting to the TRI program via EPA’s CDX using the TRI-Made Easy</w:t>
      </w:r>
      <w:r w:rsidR="002E0ECD">
        <w:t xml:space="preserve"> Web</w:t>
      </w:r>
      <w:r>
        <w:t xml:space="preserve"> (</w:t>
      </w:r>
      <w:r w:rsidRPr="007C6495">
        <w:rPr>
          <w:i/>
        </w:rPr>
        <w:t>TRI-ME</w:t>
      </w:r>
      <w:r w:rsidR="002E0ECD">
        <w:rPr>
          <w:i/>
        </w:rPr>
        <w:t>web</w:t>
      </w:r>
      <w:r>
        <w:t>) reporting tool.  From CDX, the data are date-stamped and converted into a TRI XML format.</w:t>
      </w:r>
    </w:p>
    <w:p w:rsidR="00042012" w:rsidP="00A50FB4" w:rsidRDefault="00042012" w14:paraId="49703E83" w14:textId="77777777"/>
    <w:p w:rsidR="003939E8" w:rsidP="0009485A" w:rsidRDefault="00042012" w14:paraId="721AFD62" w14:textId="77777777">
      <w:r w:rsidRPr="002A76F5">
        <w:t xml:space="preserve">When CDX successfully receives a facility transmission, CDX sends an email to the reporting facility confirming that </w:t>
      </w:r>
      <w:r>
        <w:t xml:space="preserve">the </w:t>
      </w:r>
      <w:r w:rsidRPr="002A76F5">
        <w:t>data submission to CDX has been successful and that the facility data automatically will be forwarded to</w:t>
      </w:r>
      <w:r w:rsidR="00120326">
        <w:t xml:space="preserve"> the</w:t>
      </w:r>
      <w:r w:rsidRPr="002A76F5">
        <w:t xml:space="preserve"> </w:t>
      </w:r>
      <w:r w:rsidR="00120326">
        <w:t>S</w:t>
      </w:r>
      <w:r>
        <w:t>tate</w:t>
      </w:r>
      <w:r w:rsidRPr="002A76F5">
        <w:t>.</w:t>
      </w:r>
      <w:r>
        <w:rPr>
          <w:i/>
        </w:rPr>
        <w:t xml:space="preserve">  </w:t>
      </w:r>
      <w:r>
        <w:t>The email confirms that the facility has fulfilled its obligation to report to both EPA and the State in accordance with EPCRA.</w:t>
      </w:r>
      <w:r w:rsidR="00120326">
        <w:t xml:space="preserve">  Only submissions through CDX are considered simultaneous submission to both EPA and the State.</w:t>
      </w:r>
      <w:r>
        <w:t xml:space="preserve">   </w:t>
      </w:r>
    </w:p>
    <w:p w:rsidR="00685ACD" w:rsidP="00685ACD" w:rsidRDefault="00685ACD" w14:paraId="10778001" w14:textId="77777777"/>
    <w:p w:rsidRPr="008D6CA9" w:rsidR="00FB251E" w:rsidP="00A50FB4" w:rsidRDefault="00FB251E" w14:paraId="53767350" w14:textId="77777777">
      <w:pPr>
        <w:rPr>
          <w:b/>
        </w:rPr>
      </w:pPr>
      <w:r w:rsidRPr="008D6CA9">
        <w:rPr>
          <w:b/>
        </w:rPr>
        <w:t>4.1.2</w:t>
      </w:r>
      <w:r w:rsidR="00CC38A2">
        <w:rPr>
          <w:b/>
        </w:rPr>
        <w:t>.</w:t>
      </w:r>
      <w:r w:rsidRPr="008D6CA9">
        <w:rPr>
          <w:b/>
        </w:rPr>
        <w:t xml:space="preserve">  Exchange Mechanism After Submission by Reporting Facilities</w:t>
      </w:r>
    </w:p>
    <w:p w:rsidR="00FB251E" w:rsidP="00A50FB4" w:rsidRDefault="00FB251E" w14:paraId="0232B2D0" w14:textId="77777777"/>
    <w:p w:rsidR="00A50FB4" w:rsidP="00A50FB4" w:rsidRDefault="00A50FB4" w14:paraId="6E027481" w14:textId="77777777">
      <w:r w:rsidRPr="00F27F39">
        <w:t xml:space="preserve">After the conversion to </w:t>
      </w:r>
      <w:r w:rsidR="00CC38A2">
        <w:t xml:space="preserve">the </w:t>
      </w:r>
      <w:r w:rsidRPr="00F27F39">
        <w:t xml:space="preserve">XML format, the TRI data may </w:t>
      </w:r>
      <w:r w:rsidR="005D07DD">
        <w:t xml:space="preserve">take two different paths:  </w:t>
      </w:r>
      <w:r>
        <w:t xml:space="preserve"> Node Transfer and</w:t>
      </w:r>
      <w:r w:rsidR="005D07DD">
        <w:t xml:space="preserve">/or </w:t>
      </w:r>
      <w:r>
        <w:t xml:space="preserve">Download.  </w:t>
      </w:r>
    </w:p>
    <w:p w:rsidR="00A50FB4" w:rsidP="00A50FB4" w:rsidRDefault="00A50FB4" w14:paraId="6F3C79BD" w14:textId="77777777"/>
    <w:p w:rsidRPr="003F73F9" w:rsidR="00A50FB4" w:rsidP="00A50FB4" w:rsidRDefault="00A50FB4" w14:paraId="7E1748C2" w14:textId="77777777">
      <w:pPr>
        <w:rPr>
          <w:b/>
        </w:rPr>
      </w:pPr>
      <w:r>
        <w:rPr>
          <w:b/>
        </w:rPr>
        <w:t xml:space="preserve">Node Transfer </w:t>
      </w:r>
    </w:p>
    <w:p w:rsidR="00A50FB4" w:rsidP="00A50FB4" w:rsidRDefault="00A50FB4" w14:paraId="5E4F397A" w14:textId="77777777"/>
    <w:p w:rsidR="00D0655A" w:rsidP="00D0655A" w:rsidRDefault="00E44475" w14:paraId="205CF907" w14:textId="4C7B2660">
      <w:r>
        <w:t>Using</w:t>
      </w:r>
      <w:r w:rsidR="00A50FB4">
        <w:t xml:space="preserve"> Node Transfer, the TRI data</w:t>
      </w:r>
      <w:r w:rsidR="008D6CA9">
        <w:t xml:space="preserve"> </w:t>
      </w:r>
      <w:r w:rsidR="00DF5C5F">
        <w:t>are</w:t>
      </w:r>
      <w:r w:rsidR="00394CCE">
        <w:t xml:space="preserve"> </w:t>
      </w:r>
      <w:r w:rsidR="00A50FB4">
        <w:t xml:space="preserve">automatically transferred to the </w:t>
      </w:r>
      <w:r w:rsidR="00A975A5">
        <w:t xml:space="preserve">State </w:t>
      </w:r>
      <w:r w:rsidR="00A50FB4">
        <w:t xml:space="preserve">node as soon as </w:t>
      </w:r>
      <w:r w:rsidR="007A074B">
        <w:t>they are</w:t>
      </w:r>
      <w:r w:rsidR="00A50FB4">
        <w:t xml:space="preserve"> converted to </w:t>
      </w:r>
      <w:r w:rsidR="00DF5C5F">
        <w:t xml:space="preserve">the </w:t>
      </w:r>
      <w:r w:rsidR="00A50FB4">
        <w:t>XML format. The exchange uses a “push” model in which the “raw” data entered by a TRI facility into CDX are automatically transfe</w:t>
      </w:r>
      <w:r w:rsidRPr="00E512BB" w:rsidR="00A50FB4">
        <w:t xml:space="preserve">rred to </w:t>
      </w:r>
      <w:r w:rsidR="00A50FB4">
        <w:t xml:space="preserve">the </w:t>
      </w:r>
      <w:r w:rsidR="00A975A5">
        <w:t>State</w:t>
      </w:r>
      <w:r w:rsidRPr="00E512BB" w:rsidR="00A975A5">
        <w:t xml:space="preserve">’s </w:t>
      </w:r>
      <w:r w:rsidRPr="00E512BB" w:rsidR="00A50FB4">
        <w:t>node without any data quality corrections performed by EPA.  The data</w:t>
      </w:r>
      <w:r w:rsidR="008D6CA9">
        <w:t xml:space="preserve"> </w:t>
      </w:r>
      <w:r w:rsidR="00A50FB4">
        <w:t>are</w:t>
      </w:r>
      <w:r w:rsidRPr="00E512BB" w:rsidR="00A50FB4">
        <w:t xml:space="preserve"> transf</w:t>
      </w:r>
      <w:r w:rsidR="00A50FB4">
        <w:t>err</w:t>
      </w:r>
      <w:r w:rsidRPr="00E512BB" w:rsidR="00A50FB4">
        <w:t>ed on</w:t>
      </w:r>
      <w:r w:rsidRPr="00D759CE" w:rsidR="00A50FB4">
        <w:t xml:space="preserve"> a facility-by-facility basis as </w:t>
      </w:r>
      <w:r w:rsidR="00A50FB4">
        <w:t>they are</w:t>
      </w:r>
      <w:r w:rsidRPr="00D759CE" w:rsidR="00A50FB4">
        <w:t xml:space="preserve"> received by CDX.</w:t>
      </w:r>
      <w:r w:rsidR="00A50FB4">
        <w:t xml:space="preserve"> </w:t>
      </w:r>
      <w:r w:rsidRPr="00D6741D" w:rsidR="00A50FB4">
        <w:t xml:space="preserve"> </w:t>
      </w:r>
      <w:r w:rsidR="00A50FB4">
        <w:t xml:space="preserve">The </w:t>
      </w:r>
      <w:r w:rsidR="00A975A5">
        <w:t xml:space="preserve">State </w:t>
      </w:r>
      <w:r w:rsidR="00A50FB4">
        <w:t>node responds to a successfully</w:t>
      </w:r>
      <w:r w:rsidR="008A538B">
        <w:t xml:space="preserve"> </w:t>
      </w:r>
      <w:r w:rsidR="00A50FB4">
        <w:t xml:space="preserve">submitted report by sending a transaction identification number back to the CDX node.  If the initial push of data to the </w:t>
      </w:r>
      <w:r w:rsidR="00A975A5">
        <w:t xml:space="preserve">State </w:t>
      </w:r>
      <w:r w:rsidR="00A50FB4">
        <w:t xml:space="preserve">node fails, CDX will resend the submission based on its standard operating procedures. </w:t>
      </w:r>
      <w:r w:rsidR="00D0655A">
        <w:t xml:space="preserve"> </w:t>
      </w:r>
      <w:r w:rsidR="00847C4D">
        <w:t>For reports filed via CDX, t</w:t>
      </w:r>
      <w:r w:rsidR="00D0655A">
        <w:t xml:space="preserve">he </w:t>
      </w:r>
      <w:r w:rsidR="00A975A5">
        <w:t>St</w:t>
      </w:r>
      <w:r w:rsidR="00D0655A">
        <w:t xml:space="preserve">ate may choose to send a second confirmation email to the reporting facility confirming </w:t>
      </w:r>
      <w:proofErr w:type="gramStart"/>
      <w:r w:rsidR="00D0655A">
        <w:t>the successful</w:t>
      </w:r>
      <w:proofErr w:type="gramEnd"/>
      <w:r w:rsidR="00D0655A">
        <w:t xml:space="preserve"> receipt of the report by the </w:t>
      </w:r>
      <w:r w:rsidR="00A975A5">
        <w:t>S</w:t>
      </w:r>
      <w:r w:rsidR="00D0655A">
        <w:t>tate node.</w:t>
      </w:r>
      <w:r w:rsidR="00120326">
        <w:t xml:space="preserve">  </w:t>
      </w:r>
    </w:p>
    <w:p w:rsidR="00333F29" w:rsidP="00A50FB4" w:rsidRDefault="00333F29" w14:paraId="29CA571D" w14:textId="77777777"/>
    <w:p w:rsidR="00333F29" w:rsidP="00A50FB4" w:rsidRDefault="00333F29" w14:paraId="527CB7A5" w14:textId="77777777">
      <w:r>
        <w:t>Use of Node Transfer requires the State node to be appropriately configured and tested</w:t>
      </w:r>
      <w:r w:rsidR="00F3202F">
        <w:t xml:space="preserve"> as described in section 4.6</w:t>
      </w:r>
      <w:r>
        <w:t xml:space="preserve">.  </w:t>
      </w:r>
    </w:p>
    <w:p w:rsidR="00A50FB4" w:rsidP="00A50FB4" w:rsidRDefault="00A50FB4" w14:paraId="159E130E" w14:textId="77777777"/>
    <w:p w:rsidRPr="003F73F9" w:rsidR="00A50FB4" w:rsidP="00A50FB4" w:rsidRDefault="00A50FB4" w14:paraId="6C4DB8F4" w14:textId="77777777">
      <w:pPr>
        <w:rPr>
          <w:b/>
        </w:rPr>
      </w:pPr>
      <w:r>
        <w:rPr>
          <w:b/>
        </w:rPr>
        <w:t>Download</w:t>
      </w:r>
    </w:p>
    <w:p w:rsidR="00A50FB4" w:rsidP="00A50FB4" w:rsidRDefault="00A50FB4" w14:paraId="7CBD63AB" w14:textId="77777777"/>
    <w:p w:rsidR="00A50FB4" w:rsidP="00A50FB4" w:rsidRDefault="00D10D8B" w14:paraId="08A5A138" w14:textId="77777777">
      <w:r>
        <w:t>Using</w:t>
      </w:r>
      <w:r w:rsidR="00A50FB4">
        <w:t xml:space="preserve"> Download, the </w:t>
      </w:r>
      <w:r w:rsidR="00AA07A4">
        <w:t xml:space="preserve">State will have access through a </w:t>
      </w:r>
      <w:r>
        <w:t>password-protected account</w:t>
      </w:r>
      <w:r w:rsidR="00AA07A4">
        <w:t xml:space="preserve"> to the TRI data associated with the State that </w:t>
      </w:r>
      <w:r w:rsidR="00B8634D">
        <w:t>are</w:t>
      </w:r>
      <w:r w:rsidR="00AA07A4">
        <w:t xml:space="preserve"> stored by CDX.  T</w:t>
      </w:r>
      <w:r w:rsidR="00394CCE">
        <w:t xml:space="preserve">he State </w:t>
      </w:r>
      <w:r w:rsidR="00B8634D">
        <w:t>can</w:t>
      </w:r>
      <w:r w:rsidR="00394CCE">
        <w:t xml:space="preserve"> access and download </w:t>
      </w:r>
      <w:r w:rsidR="00B8634D">
        <w:t>data</w:t>
      </w:r>
      <w:r w:rsidR="00394CCE">
        <w:t xml:space="preserve"> </w:t>
      </w:r>
      <w:r w:rsidR="00A50FB4">
        <w:t>using the SDX Viewer tool, a web-based application that is accessible via cdx.epa.gov.  TRI data downloaded via Download are in the same format, XML, as the data that are transferred to State nodes via Node Transfer</w:t>
      </w:r>
      <w:r w:rsidR="00F3202F">
        <w:t xml:space="preserve"> and are available</w:t>
      </w:r>
      <w:r w:rsidR="00AA07A4">
        <w:t xml:space="preserve"> for viewing and download</w:t>
      </w:r>
      <w:r w:rsidR="00F3202F">
        <w:t xml:space="preserve"> as soon as CDX</w:t>
      </w:r>
      <w:r w:rsidR="00AA07A4">
        <w:t xml:space="preserve"> </w:t>
      </w:r>
      <w:r w:rsidR="00F3202F">
        <w:t xml:space="preserve">converts them to </w:t>
      </w:r>
      <w:r w:rsidR="00B8634D">
        <w:t xml:space="preserve">the </w:t>
      </w:r>
      <w:r w:rsidR="00F3202F">
        <w:t>XML format</w:t>
      </w:r>
      <w:r w:rsidR="00A50FB4">
        <w:t>.</w:t>
      </w:r>
      <w:r w:rsidR="00F3202F">
        <w:t xml:space="preserve">  </w:t>
      </w:r>
    </w:p>
    <w:p w:rsidR="00A50FB4" w:rsidP="0009485A" w:rsidRDefault="00A50FB4" w14:paraId="55268BD4" w14:textId="77777777"/>
    <w:p w:rsidRPr="006F1D38" w:rsidR="006F1D38" w:rsidP="00A50FB4" w:rsidRDefault="006F1D38" w14:paraId="42CF1D7B" w14:textId="77777777">
      <w:pPr>
        <w:keepLines/>
        <w:rPr>
          <w:b/>
        </w:rPr>
      </w:pPr>
      <w:r>
        <w:rPr>
          <w:b/>
        </w:rPr>
        <w:t>4.2.  Data Stewardship</w:t>
      </w:r>
    </w:p>
    <w:p w:rsidR="00A50FB4" w:rsidP="00A50FB4" w:rsidRDefault="00A50FB4" w14:paraId="1EAACCE1" w14:textId="77777777">
      <w:pPr>
        <w:keepLines/>
      </w:pPr>
    </w:p>
    <w:p w:rsidR="00A50FB4" w:rsidP="00A50FB4" w:rsidRDefault="00A50FB4" w14:paraId="19829B5F" w14:textId="77777777">
      <w:pPr>
        <w:keepLines/>
      </w:pPr>
      <w:r>
        <w:t>The stewardship responsibilities of the two parties are described and acknowledged by this agreement.  EPA agrees to be the steward for all TRI data submitted through CDX to the State.  The State maintains oversight responsibility for the data. Each party agrees to provide notification and documentation to the other partner when either decides that data quality, completeness, or timeliness has fallen short of expectations.</w:t>
      </w:r>
    </w:p>
    <w:p w:rsidR="00A50FB4" w:rsidP="00A50FB4" w:rsidRDefault="00A50FB4" w14:paraId="428F57DD" w14:textId="77777777"/>
    <w:p w:rsidRPr="0038541D" w:rsidR="0038541D" w:rsidP="00A50FB4" w:rsidRDefault="0038541D" w14:paraId="102A96A6" w14:textId="77777777">
      <w:pPr>
        <w:rPr>
          <w:b/>
        </w:rPr>
      </w:pPr>
      <w:r>
        <w:rPr>
          <w:b/>
        </w:rPr>
        <w:t>4.3.  Use of Data, Access to Data</w:t>
      </w:r>
    </w:p>
    <w:p w:rsidR="00A50FB4" w:rsidP="00A50FB4" w:rsidRDefault="00A50FB4" w14:paraId="4CE21E38" w14:textId="77777777"/>
    <w:p w:rsidR="00FA2EED" w:rsidP="00A50FB4" w:rsidRDefault="00EE4948" w14:paraId="1FCFD62B" w14:textId="190C08BA">
      <w:r>
        <w:t>Using</w:t>
      </w:r>
      <w:r w:rsidR="00A50FB4">
        <w:t xml:space="preserve"> Node Transfer, CDX transfers TRI data to the State node according to the protocols established in the published Exchange Network protocol and specifications.  CDX also retains a copy of the submitted data for processing into EPA data systems.  The State may use the data as defined by the State’s business processes.</w:t>
      </w:r>
    </w:p>
    <w:p w:rsidR="00A50FB4" w:rsidP="00A50FB4" w:rsidRDefault="00A50FB4" w14:paraId="0357F23D" w14:textId="77777777"/>
    <w:p w:rsidRPr="006A0F79" w:rsidR="006A0F79" w:rsidP="00A50FB4" w:rsidRDefault="006A0F79" w14:paraId="5FF4ADA1" w14:textId="77777777">
      <w:pPr>
        <w:rPr>
          <w:b/>
        </w:rPr>
      </w:pPr>
      <w:r>
        <w:rPr>
          <w:b/>
        </w:rPr>
        <w:t>4.4.  Consultation</w:t>
      </w:r>
    </w:p>
    <w:p w:rsidR="006F3834" w:rsidP="00D90F2B" w:rsidRDefault="006F3834" w14:paraId="48B5DE6B" w14:textId="77777777"/>
    <w:p w:rsidRPr="00A72432" w:rsidR="00C4095A" w:rsidP="00C4095A" w:rsidRDefault="00C4095A" w14:paraId="04227C0D" w14:textId="77777777">
      <w:r>
        <w:t xml:space="preserve">Prior to </w:t>
      </w:r>
      <w:r w:rsidR="0074753D">
        <w:t>EPA’s release of the TRI National Analysis for a given reporting year</w:t>
      </w:r>
      <w:r>
        <w:t xml:space="preserve">, the State agrees to consult with </w:t>
      </w:r>
      <w:r w:rsidRPr="00BF2436">
        <w:t>EPA</w:t>
      </w:r>
      <w:r>
        <w:t>, specifically the TRI Program Division Director</w:t>
      </w:r>
      <w:r w:rsidRPr="00BF2436">
        <w:t xml:space="preserve">. </w:t>
      </w:r>
      <w:r>
        <w:t xml:space="preserve">The State will consult with EPA in writing and address the State's plans for releasing the data including when and why they plan to release the data and any major issues or findings.  </w:t>
      </w:r>
    </w:p>
    <w:p w:rsidR="00D90F2B" w:rsidRDefault="00D90F2B" w14:paraId="39FDB5A5" w14:textId="77777777"/>
    <w:p w:rsidRPr="00F96D68" w:rsidR="00F96D68" w:rsidRDefault="00F96D68" w14:paraId="552E5A40" w14:textId="77777777">
      <w:pPr>
        <w:rPr>
          <w:b/>
        </w:rPr>
      </w:pPr>
      <w:r>
        <w:rPr>
          <w:b/>
        </w:rPr>
        <w:t>4.5.  Data Elements</w:t>
      </w:r>
    </w:p>
    <w:p w:rsidR="00D90F2B" w:rsidRDefault="00D90F2B" w14:paraId="6E4924E3" w14:textId="77777777"/>
    <w:p w:rsidR="00D90F2B" w:rsidRDefault="00D90F2B" w14:paraId="0718F7ED" w14:textId="77777777">
      <w:r>
        <w:t>The TRI data referred to in this document include the data elements found on TRI Forms R and A.  These data elements are described in the TRI Flow Configuration Document (FCD), which serves as the technical reference for the TRI Data Exchange.</w:t>
      </w:r>
      <w:r w:rsidR="000E3F94">
        <w:t xml:space="preserve">  The FCD can be found at &lt;</w:t>
      </w:r>
      <w:r w:rsidRPr="000E3F94" w:rsidR="000E3F94">
        <w:t>http://www.exchangenetwork.net/exchanges/cross/tri.htm</w:t>
      </w:r>
      <w:r w:rsidR="000E3F94">
        <w:t>&gt;.</w:t>
      </w:r>
    </w:p>
    <w:p w:rsidR="00D90F2B" w:rsidRDefault="00D90F2B" w14:paraId="63EC0275" w14:textId="77777777"/>
    <w:p w:rsidR="002C2774" w:rsidRDefault="002C2774" w14:paraId="702727A8" w14:textId="77777777">
      <w:pPr>
        <w:rPr>
          <w:b/>
        </w:rPr>
      </w:pPr>
      <w:r>
        <w:rPr>
          <w:b/>
        </w:rPr>
        <w:t>4.6.  Standards and Technology</w:t>
      </w:r>
    </w:p>
    <w:p w:rsidR="00D90F2B" w:rsidRDefault="00D90F2B" w14:paraId="29293A1D" w14:textId="77777777"/>
    <w:p w:rsidR="00D90F2B" w:rsidRDefault="00D90F2B" w14:paraId="2DA73B89" w14:textId="77777777">
      <w:pPr>
        <w:keepLines/>
        <w:autoSpaceDE w:val="0"/>
        <w:autoSpaceDN w:val="0"/>
        <w:adjustRightInd w:val="0"/>
        <w:spacing w:line="240" w:lineRule="atLeast"/>
        <w:rPr>
          <w:color w:val="000000"/>
        </w:rPr>
      </w:pPr>
      <w:r>
        <w:rPr>
          <w:color w:val="000000"/>
        </w:rPr>
        <w:t xml:space="preserve">EPA and </w:t>
      </w:r>
      <w:r w:rsidR="00B21A9E">
        <w:rPr>
          <w:color w:val="000000"/>
        </w:rPr>
        <w:t>the State</w:t>
      </w:r>
      <w:r>
        <w:rPr>
          <w:color w:val="000000"/>
        </w:rPr>
        <w:t xml:space="preserve"> agree to exchange data using Web services technology as defined in the Exchange Network protocol and specification documents. The TRI Data Exchange configuration is explained in detail in the FCD.</w:t>
      </w:r>
      <w:r w:rsidR="00CD6071">
        <w:rPr>
          <w:color w:val="000000"/>
        </w:rPr>
        <w:t xml:space="preserve"> </w:t>
      </w:r>
      <w:r>
        <w:rPr>
          <w:color w:val="000000"/>
        </w:rPr>
        <w:t xml:space="preserve"> TRI Data Exchange participants agree to adhere to the technologies and exchange protocols as defined in the FCD.</w:t>
      </w:r>
    </w:p>
    <w:p w:rsidR="00A22B36" w:rsidRDefault="00A22B36" w14:paraId="03A3B7D0" w14:textId="77777777">
      <w:pPr>
        <w:keepLines/>
        <w:autoSpaceDE w:val="0"/>
        <w:autoSpaceDN w:val="0"/>
        <w:adjustRightInd w:val="0"/>
        <w:spacing w:line="240" w:lineRule="atLeast"/>
      </w:pPr>
    </w:p>
    <w:p w:rsidRPr="00E515BC" w:rsidR="00E515BC" w:rsidRDefault="00E515BC" w14:paraId="3ACF4D27" w14:textId="77777777">
      <w:pPr>
        <w:keepLines/>
        <w:autoSpaceDE w:val="0"/>
        <w:autoSpaceDN w:val="0"/>
        <w:adjustRightInd w:val="0"/>
        <w:spacing w:line="240" w:lineRule="atLeast"/>
        <w:rPr>
          <w:b/>
        </w:rPr>
      </w:pPr>
      <w:r>
        <w:rPr>
          <w:b/>
        </w:rPr>
        <w:t>4.7.  Security</w:t>
      </w:r>
    </w:p>
    <w:p w:rsidR="00D90F2B" w:rsidRDefault="00D90F2B" w14:paraId="3DCF998D" w14:textId="77777777">
      <w:r>
        <w:t xml:space="preserve">  </w:t>
      </w:r>
    </w:p>
    <w:p w:rsidR="00D90F2B" w:rsidRDefault="00E515BC" w14:paraId="60427B88" w14:textId="77777777">
      <w:r>
        <w:rPr>
          <w:color w:val="000000"/>
        </w:rPr>
        <w:t xml:space="preserve">The TRI Data Exchange flow </w:t>
      </w:r>
      <w:r w:rsidR="00D90F2B">
        <w:rPr>
          <w:color w:val="000000"/>
        </w:rPr>
        <w:t xml:space="preserve">is encrypted by EPA-CDX for security purposes.  The data </w:t>
      </w:r>
      <w:r w:rsidR="000E3F94">
        <w:rPr>
          <w:color w:val="000000"/>
        </w:rPr>
        <w:t xml:space="preserve">are </w:t>
      </w:r>
      <w:r w:rsidR="00D90F2B">
        <w:rPr>
          <w:color w:val="000000"/>
        </w:rPr>
        <w:t xml:space="preserve">formatted in the TRI XML schema that is registered with the Exchange Network and </w:t>
      </w:r>
      <w:r w:rsidR="000E3F94">
        <w:rPr>
          <w:color w:val="000000"/>
        </w:rPr>
        <w:t xml:space="preserve">then </w:t>
      </w:r>
      <w:r w:rsidR="00D90F2B">
        <w:rPr>
          <w:color w:val="000000"/>
        </w:rPr>
        <w:t xml:space="preserve">sent from </w:t>
      </w:r>
      <w:r w:rsidR="00D82F04">
        <w:rPr>
          <w:color w:val="000000"/>
        </w:rPr>
        <w:t>the CDX</w:t>
      </w:r>
      <w:r w:rsidR="00D90F2B">
        <w:rPr>
          <w:color w:val="000000"/>
        </w:rPr>
        <w:t xml:space="preserve"> </w:t>
      </w:r>
      <w:r w:rsidR="00D82F04">
        <w:rPr>
          <w:color w:val="000000"/>
        </w:rPr>
        <w:t>n</w:t>
      </w:r>
      <w:r w:rsidR="00D90F2B">
        <w:rPr>
          <w:color w:val="000000"/>
        </w:rPr>
        <w:t xml:space="preserve">ode to the State </w:t>
      </w:r>
      <w:r w:rsidR="00D82F04">
        <w:rPr>
          <w:color w:val="000000"/>
        </w:rPr>
        <w:t>n</w:t>
      </w:r>
      <w:r w:rsidR="00D90F2B">
        <w:rPr>
          <w:color w:val="000000"/>
        </w:rPr>
        <w:t>ode using secure protocols.  A step-by-step description of security authentication is available in the FCD.</w:t>
      </w:r>
    </w:p>
    <w:p w:rsidR="00D90F2B" w:rsidRDefault="00D90F2B" w14:paraId="7189EAEB" w14:textId="77777777"/>
    <w:p w:rsidR="00D90F2B" w:rsidRDefault="00D90F2B" w14:paraId="53062365" w14:textId="77777777">
      <w:r>
        <w:t xml:space="preserve">The data exchanged under this agreement </w:t>
      </w:r>
      <w:proofErr w:type="gramStart"/>
      <w:r>
        <w:t>are</w:t>
      </w:r>
      <w:proofErr w:type="gramEnd"/>
      <w:r>
        <w:t xml:space="preserve"> not confidential.</w:t>
      </w:r>
      <w:r w:rsidR="00CD6071">
        <w:t xml:space="preserve"> </w:t>
      </w:r>
      <w:r>
        <w:t xml:space="preserve"> The information is approved for public distribution and made available on a public </w:t>
      </w:r>
      <w:r w:rsidR="00D75432">
        <w:t>Web site</w:t>
      </w:r>
      <w:r>
        <w:t xml:space="preserve">.  Information </w:t>
      </w:r>
      <w:r>
        <w:t xml:space="preserve">claimed to be trade secret as defined by Section 322 of EPCRA and confidential business information </w:t>
      </w:r>
      <w:r w:rsidR="003232A4">
        <w:t xml:space="preserve">(CBI) </w:t>
      </w:r>
      <w:r>
        <w:t xml:space="preserve">or trade secrets submitted to support a Section 322 trade secrecy claim </w:t>
      </w:r>
      <w:r w:rsidR="00E159A2">
        <w:t xml:space="preserve">will </w:t>
      </w:r>
      <w:r>
        <w:t xml:space="preserve">not </w:t>
      </w:r>
      <w:r w:rsidR="00B90EAC">
        <w:t xml:space="preserve">to </w:t>
      </w:r>
      <w:r>
        <w:t xml:space="preserve">be transmitted </w:t>
      </w:r>
      <w:r w:rsidR="00E159A2">
        <w:t>via the TRI Data Exchange</w:t>
      </w:r>
      <w:r>
        <w:t xml:space="preserve">.  See 42 USC § 11042. </w:t>
      </w:r>
      <w:r w:rsidR="003232A4">
        <w:t xml:space="preserve">Confidential business information or trade secrets are managed </w:t>
      </w:r>
      <w:r w:rsidR="00D75432">
        <w:t>outside of CDX and TRIPS</w:t>
      </w:r>
      <w:r w:rsidR="003232A4">
        <w:t xml:space="preserve">.  </w:t>
      </w:r>
    </w:p>
    <w:p w:rsidR="00D90F2B" w:rsidRDefault="00D90F2B" w14:paraId="2D88B46E" w14:textId="77777777"/>
    <w:p w:rsidR="00D72B25" w:rsidRDefault="00D72B25" w14:paraId="4879E158" w14:textId="17C20788">
      <w:pPr>
        <w:rPr>
          <w:b/>
        </w:rPr>
      </w:pPr>
      <w:r>
        <w:rPr>
          <w:b/>
        </w:rPr>
        <w:t>4.8.  Data Source and Data Quality</w:t>
      </w:r>
    </w:p>
    <w:p w:rsidR="001C6167" w:rsidP="001C6167" w:rsidRDefault="001C6167" w14:paraId="06C6BFC5" w14:textId="77777777"/>
    <w:p w:rsidR="001C6167" w:rsidP="001C6167" w:rsidRDefault="001C6167" w14:paraId="11B79108" w14:textId="680CD0CF">
      <w:r>
        <w:t>For reports filed electronically via CDX by facilities</w:t>
      </w:r>
      <w:r w:rsidR="00D57FA4">
        <w:t>, t</w:t>
      </w:r>
      <w:r>
        <w:t xml:space="preserve">he data source is the TRI data reported by facilities that opt to use EPA’s </w:t>
      </w:r>
      <w:r w:rsidRPr="00D75432">
        <w:t>TRI-ME</w:t>
      </w:r>
      <w:r w:rsidR="009763EC">
        <w:t>web</w:t>
      </w:r>
      <w:r>
        <w:t xml:space="preserve"> reporting tool beginning with</w:t>
      </w:r>
      <w:r w:rsidR="002F466C">
        <w:t xml:space="preserve"> the reporting year this MOA is signed</w:t>
      </w:r>
      <w:r>
        <w:t xml:space="preserve">.  </w:t>
      </w:r>
      <w:r w:rsidR="00B40267">
        <w:t>Only r</w:t>
      </w:r>
      <w:r w:rsidRPr="00AD3135">
        <w:t xml:space="preserve">evisions to Reporting Year </w:t>
      </w:r>
      <w:r>
        <w:t>200</w:t>
      </w:r>
      <w:r w:rsidR="003F52BD">
        <w:t>4</w:t>
      </w:r>
      <w:r w:rsidRPr="00AD3135">
        <w:t xml:space="preserve"> and subsequent years' data</w:t>
      </w:r>
      <w:r w:rsidR="00D57FA4">
        <w:t xml:space="preserve"> submitted through CDX</w:t>
      </w:r>
      <w:r w:rsidRPr="00AD3135">
        <w:t xml:space="preserve"> will be autom</w:t>
      </w:r>
      <w:r w:rsidR="00D57FA4">
        <w:t xml:space="preserve">atically transferred to the </w:t>
      </w:r>
      <w:r w:rsidR="009740C8">
        <w:t>State</w:t>
      </w:r>
      <w:r w:rsidR="00D57FA4">
        <w:t xml:space="preserve"> </w:t>
      </w:r>
      <w:r w:rsidRPr="00AD3135">
        <w:t>node.</w:t>
      </w:r>
      <w:r w:rsidR="00161E86">
        <w:t xml:space="preserve">  Revisions to TRI reports prior to RY 200</w:t>
      </w:r>
      <w:r w:rsidR="003F52BD">
        <w:t>4</w:t>
      </w:r>
      <w:r w:rsidR="00161E86">
        <w:t xml:space="preserve"> are not processed through the TRI Data Exchange because the </w:t>
      </w:r>
      <w:r w:rsidR="00161E86">
        <w:rPr>
          <w:color w:val="000000"/>
        </w:rPr>
        <w:t xml:space="preserve">TRI XML </w:t>
      </w:r>
      <w:proofErr w:type="gramStart"/>
      <w:r w:rsidR="00161E86">
        <w:rPr>
          <w:color w:val="000000"/>
        </w:rPr>
        <w:t>schema</w:t>
      </w:r>
      <w:proofErr w:type="gramEnd"/>
      <w:r w:rsidR="00161E86">
        <w:rPr>
          <w:color w:val="000000"/>
        </w:rPr>
        <w:t xml:space="preserve"> used in the TRI Data Exchange is only compatible with</w:t>
      </w:r>
      <w:r w:rsidR="00525DD1">
        <w:rPr>
          <w:color w:val="000000"/>
        </w:rPr>
        <w:t xml:space="preserve"> </w:t>
      </w:r>
      <w:r w:rsidR="00161E86">
        <w:rPr>
          <w:color w:val="000000"/>
        </w:rPr>
        <w:t>TRI data from RY 200</w:t>
      </w:r>
      <w:r w:rsidR="003F52BD">
        <w:rPr>
          <w:color w:val="000000"/>
        </w:rPr>
        <w:t>4</w:t>
      </w:r>
      <w:r w:rsidR="00161E86">
        <w:rPr>
          <w:color w:val="000000"/>
        </w:rPr>
        <w:t xml:space="preserve"> onward.    </w:t>
      </w:r>
    </w:p>
    <w:p w:rsidR="001C6167" w:rsidP="001C6167" w:rsidRDefault="001C6167" w14:paraId="4A4396AE" w14:textId="77777777"/>
    <w:p w:rsidR="001C6167" w:rsidP="001C6167" w:rsidRDefault="00D57FA4" w14:paraId="1DF86296" w14:textId="77777777">
      <w:r>
        <w:t xml:space="preserve">EPA and </w:t>
      </w:r>
      <w:r w:rsidR="00B90EAC">
        <w:t xml:space="preserve">the </w:t>
      </w:r>
      <w:r w:rsidR="009740C8">
        <w:t>State</w:t>
      </w:r>
      <w:r>
        <w:t xml:space="preserve"> </w:t>
      </w:r>
      <w:r w:rsidR="001C6167">
        <w:t xml:space="preserve">agree to cooperate to ensure that the data being exchanged </w:t>
      </w:r>
      <w:proofErr w:type="gramStart"/>
      <w:r w:rsidR="00487B61">
        <w:t>are</w:t>
      </w:r>
      <w:proofErr w:type="gramEnd"/>
      <w:r w:rsidR="00487B61">
        <w:t xml:space="preserve"> </w:t>
      </w:r>
      <w:r w:rsidR="001C6167">
        <w:t xml:space="preserve">an accurate and complete replica of the data submitted as certified by the reporting facility.  The process outlined in the section Dispute Resolution applies to reconciliation of data duplicates, discrepancies, or other quality issues.  Individual submissions are tracked using a transaction identification number supplied by </w:t>
      </w:r>
      <w:r w:rsidR="00A639BA">
        <w:t>the State node to CDX in response to the successful transmission of TRI data</w:t>
      </w:r>
      <w:r w:rsidR="001C6167">
        <w:t xml:space="preserve">.  </w:t>
      </w:r>
    </w:p>
    <w:p w:rsidRPr="000518B7" w:rsidR="001C6167" w:rsidRDefault="001C6167" w14:paraId="5CEAD202" w14:textId="77777777">
      <w:pPr>
        <w:rPr>
          <w:b/>
        </w:rPr>
      </w:pPr>
    </w:p>
    <w:p w:rsidR="00423D75" w:rsidRDefault="00CD6957" w14:paraId="4C044BE2" w14:textId="099AD44C">
      <w:pPr>
        <w:rPr>
          <w:b/>
        </w:rPr>
      </w:pPr>
      <w:r>
        <w:rPr>
          <w:b/>
        </w:rPr>
        <w:t>4.9.  Data Timeliness</w:t>
      </w:r>
    </w:p>
    <w:p w:rsidR="00423D75" w:rsidP="000D2FEE" w:rsidRDefault="00423D75" w14:paraId="28F3B6C5" w14:textId="77777777">
      <w:pPr>
        <w:rPr>
          <w:b/>
        </w:rPr>
      </w:pPr>
    </w:p>
    <w:p w:rsidR="0010394F" w:rsidP="000D2FEE" w:rsidRDefault="006D1D7A" w14:paraId="15A83B10" w14:textId="77777777">
      <w:r>
        <w:t>Using</w:t>
      </w:r>
      <w:r w:rsidR="00B71B42">
        <w:t xml:space="preserve"> Node Trans</w:t>
      </w:r>
      <w:r w:rsidR="00DF2F0F">
        <w:t>fer, d</w:t>
      </w:r>
      <w:r w:rsidR="000D2FEE">
        <w:t xml:space="preserve">ata submitted through CDX by facilities </w:t>
      </w:r>
      <w:r w:rsidR="00D75432">
        <w:t xml:space="preserve">are </w:t>
      </w:r>
      <w:r w:rsidR="000D2FEE">
        <w:t xml:space="preserve">converted to XML and pushed from CDX to the </w:t>
      </w:r>
      <w:r w:rsidR="009740C8">
        <w:t>State</w:t>
      </w:r>
      <w:r w:rsidR="000D2FEE">
        <w:t xml:space="preserve"> node automatically on a facility-by-facility basis.  Based on pilot testing of the TRI </w:t>
      </w:r>
      <w:r w:rsidR="00FA6B12">
        <w:t>D</w:t>
      </w:r>
      <w:r w:rsidR="000D2FEE">
        <w:t xml:space="preserve">ata </w:t>
      </w:r>
      <w:r w:rsidR="00FA6B12">
        <w:t>E</w:t>
      </w:r>
      <w:r w:rsidR="000D2FEE">
        <w:t xml:space="preserve">xchange, it is expected </w:t>
      </w:r>
      <w:r w:rsidRPr="00E512BB" w:rsidR="000D2FEE">
        <w:t xml:space="preserve">that the data will be submitted to the </w:t>
      </w:r>
      <w:r w:rsidR="009740C8">
        <w:t>State</w:t>
      </w:r>
      <w:r w:rsidRPr="00E512BB" w:rsidR="000D2FEE">
        <w:t xml:space="preserve"> node within several minutes of its receipt through </w:t>
      </w:r>
      <w:proofErr w:type="gramStart"/>
      <w:r w:rsidRPr="00E512BB" w:rsidR="000D2FEE">
        <w:t>the CDX</w:t>
      </w:r>
      <w:proofErr w:type="gramEnd"/>
      <w:r w:rsidRPr="00E512BB" w:rsidR="000D2FEE">
        <w:t>.</w:t>
      </w:r>
      <w:r w:rsidR="000D2FEE">
        <w:t xml:space="preserve">  For enforcement purposes, EPA and </w:t>
      </w:r>
      <w:r w:rsidR="009740C8">
        <w:t>State</w:t>
      </w:r>
      <w:r w:rsidR="000D2FEE">
        <w:t xml:space="preserve"> agree that the date-stamp attached to a submission when it is successfully received </w:t>
      </w:r>
      <w:r w:rsidR="0010394F">
        <w:t xml:space="preserve">by CDX </w:t>
      </w:r>
      <w:r w:rsidR="000D2FEE">
        <w:t xml:space="preserve">will act as the date-received for </w:t>
      </w:r>
      <w:r w:rsidR="00FA6B12">
        <w:t xml:space="preserve">the </w:t>
      </w:r>
      <w:r w:rsidR="009740C8">
        <w:t>State</w:t>
      </w:r>
      <w:r w:rsidR="000D2FEE">
        <w:t>.</w:t>
      </w:r>
      <w:r w:rsidR="0010394F">
        <w:t xml:space="preserve">  </w:t>
      </w:r>
      <w:proofErr w:type="gramStart"/>
      <w:r w:rsidR="0010394F">
        <w:t>These</w:t>
      </w:r>
      <w:proofErr w:type="gramEnd"/>
      <w:r w:rsidR="0010394F">
        <w:t xml:space="preserve"> data are also available to the State through Download at the State’s convenience. </w:t>
      </w:r>
    </w:p>
    <w:p w:rsidR="002E0ECD" w:rsidRDefault="002E0ECD" w14:paraId="2B9C2A44" w14:textId="77777777">
      <w:pPr>
        <w:rPr>
          <w:b/>
        </w:rPr>
      </w:pPr>
    </w:p>
    <w:p w:rsidRPr="00C32108" w:rsidR="008E67C3" w:rsidRDefault="00C32108" w14:paraId="71EEA429" w14:textId="240D41A5">
      <w:pPr>
        <w:rPr>
          <w:b/>
        </w:rPr>
      </w:pPr>
      <w:r>
        <w:rPr>
          <w:b/>
        </w:rPr>
        <w:t>4.10.  Data Reconciliation</w:t>
      </w:r>
    </w:p>
    <w:p w:rsidR="008E67C3" w:rsidP="008E67C3" w:rsidRDefault="008E67C3" w14:paraId="6B1CA071" w14:textId="77777777"/>
    <w:p w:rsidR="008E67C3" w:rsidP="008E67C3" w:rsidRDefault="008E67C3" w14:paraId="44441074" w14:textId="77777777">
      <w:r>
        <w:t xml:space="preserve">If at any time one of the partners finds a technical problem with accuracy, completeness, or timeliness of submissions, they should alert the other party.  If technical problems cannot be resolved in a timely manner for retransmission to the </w:t>
      </w:r>
      <w:r w:rsidR="009740C8">
        <w:t>State</w:t>
      </w:r>
      <w:r>
        <w:t xml:space="preserve"> node, another method of transmission will be used to forward facility data to </w:t>
      </w:r>
      <w:r w:rsidR="00A461F5">
        <w:t xml:space="preserve">the </w:t>
      </w:r>
      <w:r w:rsidR="009740C8">
        <w:t>State</w:t>
      </w:r>
      <w:r>
        <w:t>.</w:t>
      </w:r>
    </w:p>
    <w:p w:rsidR="00D90F2B" w:rsidRDefault="00D90F2B" w14:paraId="0238004C" w14:textId="77777777"/>
    <w:p w:rsidRPr="003E0D3F" w:rsidR="003E0D3F" w:rsidRDefault="003E0D3F" w14:paraId="39700208" w14:textId="77777777">
      <w:pPr>
        <w:rPr>
          <w:b/>
        </w:rPr>
      </w:pPr>
      <w:r>
        <w:rPr>
          <w:b/>
        </w:rPr>
        <w:t>4.11.  Dispute Resolution</w:t>
      </w:r>
    </w:p>
    <w:p w:rsidR="00D90F2B" w:rsidRDefault="00D90F2B" w14:paraId="190ABD02" w14:textId="77777777"/>
    <w:p w:rsidR="00D90F2B" w:rsidRDefault="00D90F2B" w14:paraId="4C01C6E0" w14:textId="77777777">
      <w:r>
        <w:t>If at any time one of the partners finds a problem with data quality or completeness, they should start the resolution procedures.</w:t>
      </w:r>
    </w:p>
    <w:p w:rsidR="00D90F2B" w:rsidRDefault="00D90F2B" w14:paraId="7B374E59" w14:textId="77777777"/>
    <w:p w:rsidR="00D90F2B" w:rsidRDefault="00B21A9E" w14:paraId="13C59768" w14:textId="77777777">
      <w:r>
        <w:t xml:space="preserve">The State </w:t>
      </w:r>
      <w:r w:rsidR="00D90F2B">
        <w:t xml:space="preserve">and EPA data administrators agree to resolve disputes whenever possible.  (Data administrators are those assigned with the overall management of TRI data in his or </w:t>
      </w:r>
      <w:r w:rsidR="00D90F2B">
        <w:t>her agency.)  The data administrator agrees to contact his or her counterpart, either by telephone, email, or in writing.  If the data administrators cannot resolve the dispute within two weeks, they agree to bring it to the attention of their immediate supervisors.</w:t>
      </w:r>
    </w:p>
    <w:p w:rsidR="00D90F2B" w:rsidRDefault="00D90F2B" w14:paraId="1E4E39FD" w14:textId="77777777"/>
    <w:p w:rsidRPr="00E33D4F" w:rsidR="00E33D4F" w:rsidRDefault="00E33D4F" w14:paraId="3A136425" w14:textId="77777777">
      <w:pPr>
        <w:rPr>
          <w:b/>
        </w:rPr>
      </w:pPr>
      <w:r>
        <w:rPr>
          <w:b/>
        </w:rPr>
        <w:t>5</w:t>
      </w:r>
      <w:proofErr w:type="gramStart"/>
      <w:r>
        <w:rPr>
          <w:b/>
        </w:rPr>
        <w:t>.  Financial</w:t>
      </w:r>
      <w:proofErr w:type="gramEnd"/>
      <w:r>
        <w:rPr>
          <w:b/>
        </w:rPr>
        <w:t xml:space="preserve"> Arrangements</w:t>
      </w:r>
    </w:p>
    <w:p w:rsidR="00E33D4F" w:rsidRDefault="00E33D4F" w14:paraId="14F5B2FD" w14:textId="77777777">
      <w:pPr>
        <w:rPr>
          <w:b/>
          <w:sz w:val="26"/>
          <w:szCs w:val="26"/>
        </w:rPr>
      </w:pPr>
    </w:p>
    <w:p w:rsidRPr="00F27304" w:rsidR="00D90F2B" w:rsidP="00E33D4F" w:rsidRDefault="00E33D4F" w14:paraId="30E05BB1" w14:textId="77777777">
      <w:pPr>
        <w:rPr>
          <w:color w:val="000000"/>
        </w:rPr>
      </w:pPr>
      <w:r w:rsidRPr="005A6815">
        <w:rPr>
          <w:b/>
        </w:rPr>
        <w:t xml:space="preserve">5.1.  </w:t>
      </w:r>
      <w:r w:rsidRPr="005A6815" w:rsidR="00D90F2B">
        <w:rPr>
          <w:color w:val="000000"/>
        </w:rPr>
        <w:t>A</w:t>
      </w:r>
      <w:r w:rsidR="00D90F2B">
        <w:rPr>
          <w:color w:val="000000"/>
        </w:rPr>
        <w:t xml:space="preserve">ll commitments made </w:t>
      </w:r>
      <w:proofErr w:type="gramStart"/>
      <w:r w:rsidR="00E47197">
        <w:rPr>
          <w:color w:val="000000"/>
        </w:rPr>
        <w:t>i</w:t>
      </w:r>
      <w:r w:rsidR="00D90F2B">
        <w:rPr>
          <w:color w:val="000000"/>
        </w:rPr>
        <w:t>n</w:t>
      </w:r>
      <w:proofErr w:type="gramEnd"/>
      <w:r w:rsidR="00D90F2B">
        <w:rPr>
          <w:color w:val="000000"/>
        </w:rPr>
        <w:t xml:space="preserve"> this agreement are subject to the availability of </w:t>
      </w:r>
      <w:proofErr w:type="gramStart"/>
      <w:r w:rsidR="00D90F2B">
        <w:rPr>
          <w:color w:val="000000"/>
        </w:rPr>
        <w:t>appropriated</w:t>
      </w:r>
      <w:proofErr w:type="gramEnd"/>
      <w:r w:rsidR="00D90F2B">
        <w:rPr>
          <w:color w:val="000000"/>
        </w:rPr>
        <w:t xml:space="preserve"> funds and EPA’s budget priorities.  Nothing in this agreement, in and of itself, obligates EPA to expend appropriations or to enter into any contract, assistance </w:t>
      </w:r>
      <w:r w:rsidR="005A6815">
        <w:rPr>
          <w:color w:val="000000"/>
        </w:rPr>
        <w:t>or</w:t>
      </w:r>
      <w:r w:rsidR="00D90F2B">
        <w:rPr>
          <w:color w:val="000000"/>
        </w:rPr>
        <w:t xml:space="preserve"> interagency agreement, or to incur other financial obligations.  Any endeavor involving reimbursement or contribution of funds between the parties to this agreement will be handled in accordance with applicable laws, regulations, and procedures, and will be </w:t>
      </w:r>
      <w:r w:rsidRPr="00F27304" w:rsidR="00D90F2B">
        <w:rPr>
          <w:color w:val="000000"/>
        </w:rPr>
        <w:t xml:space="preserve">subject to separate subsidiary agreements that will be </w:t>
      </w:r>
      <w:proofErr w:type="gramStart"/>
      <w:r w:rsidRPr="00F27304" w:rsidR="00D90F2B">
        <w:rPr>
          <w:color w:val="000000"/>
        </w:rPr>
        <w:t>effected</w:t>
      </w:r>
      <w:proofErr w:type="gramEnd"/>
      <w:r w:rsidRPr="00F27304" w:rsidR="00D90F2B">
        <w:rPr>
          <w:color w:val="000000"/>
        </w:rPr>
        <w:t xml:space="preserve"> in writing by representatives of both parties.</w:t>
      </w:r>
    </w:p>
    <w:p w:rsidRPr="00F27304" w:rsidR="00D90F2B" w:rsidRDefault="00D90F2B" w14:paraId="2A2A6F97" w14:textId="77777777">
      <w:pPr>
        <w:autoSpaceDE w:val="0"/>
        <w:autoSpaceDN w:val="0"/>
        <w:adjustRightInd w:val="0"/>
        <w:spacing w:line="240" w:lineRule="atLeast"/>
        <w:rPr>
          <w:color w:val="000000"/>
        </w:rPr>
      </w:pPr>
    </w:p>
    <w:p w:rsidRPr="00F27304" w:rsidR="00D90F2B" w:rsidP="005A6815" w:rsidRDefault="005A6815" w14:paraId="3907C8FA" w14:textId="77777777">
      <w:pPr>
        <w:autoSpaceDE w:val="0"/>
        <w:autoSpaceDN w:val="0"/>
        <w:adjustRightInd w:val="0"/>
        <w:spacing w:line="240" w:lineRule="atLeast"/>
        <w:rPr>
          <w:color w:val="000000"/>
        </w:rPr>
      </w:pPr>
      <w:r w:rsidRPr="00F27304">
        <w:rPr>
          <w:b/>
          <w:color w:val="000000"/>
        </w:rPr>
        <w:t xml:space="preserve">5.2.  </w:t>
      </w:r>
      <w:r w:rsidRPr="00F27304" w:rsidR="00D90F2B">
        <w:rPr>
          <w:color w:val="000000"/>
        </w:rPr>
        <w:t xml:space="preserve">EPA may not endorse the purchase or sale of products and services provided by private organizations that become partners in this effort.  </w:t>
      </w:r>
    </w:p>
    <w:p w:rsidRPr="00F27304" w:rsidR="00D90F2B" w:rsidRDefault="00D90F2B" w14:paraId="7AB5DF7B" w14:textId="77777777">
      <w:pPr>
        <w:rPr>
          <w:b/>
        </w:rPr>
      </w:pPr>
    </w:p>
    <w:p w:rsidRPr="00F27304" w:rsidR="00F27304" w:rsidRDefault="00F27304" w14:paraId="2E4B6885" w14:textId="77777777">
      <w:pPr>
        <w:rPr>
          <w:b/>
        </w:rPr>
      </w:pPr>
      <w:r>
        <w:rPr>
          <w:b/>
        </w:rPr>
        <w:t>6</w:t>
      </w:r>
      <w:proofErr w:type="gramStart"/>
      <w:r>
        <w:rPr>
          <w:b/>
        </w:rPr>
        <w:t>.  Period</w:t>
      </w:r>
      <w:proofErr w:type="gramEnd"/>
      <w:r>
        <w:rPr>
          <w:b/>
        </w:rPr>
        <w:t xml:space="preserve"> of Agreement</w:t>
      </w:r>
    </w:p>
    <w:p w:rsidRPr="00F27304" w:rsidR="00D90F2B" w:rsidRDefault="00D90F2B" w14:paraId="1DF59374" w14:textId="77777777"/>
    <w:p w:rsidRPr="00F27304" w:rsidR="00D90F2B" w:rsidRDefault="00D90F2B" w14:paraId="71269A83" w14:textId="77777777">
      <w:pPr>
        <w:rPr>
          <w:color w:val="000000"/>
        </w:rPr>
      </w:pPr>
      <w:r w:rsidRPr="00F27304">
        <w:rPr>
          <w:color w:val="000000"/>
        </w:rPr>
        <w:t xml:space="preserve">This agreement is intended to facilitate </w:t>
      </w:r>
      <w:r w:rsidRPr="00F27304" w:rsidR="00B21A9E">
        <w:rPr>
          <w:color w:val="000000"/>
        </w:rPr>
        <w:t>the exchange of data between the State</w:t>
      </w:r>
      <w:r w:rsidRPr="00F27304">
        <w:rPr>
          <w:color w:val="000000"/>
        </w:rPr>
        <w:t xml:space="preserve"> and EPA and is not intended to and does not create any right or benefit, substantive or procedural, enforceable b</w:t>
      </w:r>
      <w:r w:rsidRPr="00F27304" w:rsidR="00B21A9E">
        <w:rPr>
          <w:color w:val="000000"/>
        </w:rPr>
        <w:t>y law or equity against EPA, the State</w:t>
      </w:r>
      <w:r w:rsidRPr="00F27304">
        <w:rPr>
          <w:color w:val="000000"/>
        </w:rPr>
        <w:t xml:space="preserve">, their officers or employees, or any other person.  </w:t>
      </w:r>
    </w:p>
    <w:p w:rsidR="00D90F2B" w:rsidRDefault="00D90F2B" w14:paraId="71027777" w14:textId="77777777">
      <w:pPr>
        <w:rPr>
          <w:color w:val="000000"/>
        </w:rPr>
      </w:pPr>
    </w:p>
    <w:p w:rsidR="00D90F2B" w:rsidRDefault="00D90F2B" w14:paraId="06AE1562" w14:textId="77777777">
      <w:r>
        <w:t xml:space="preserve">This agreement becomes effective on the date of signatures by both parties and continues until modified by mutual consent or unless terminated with 60 </w:t>
      </w:r>
      <w:proofErr w:type="gramStart"/>
      <w:r>
        <w:t>days</w:t>
      </w:r>
      <w:proofErr w:type="gramEnd"/>
      <w:r>
        <w:t xml:space="preserve"> written notice by either party.  Partners should review this agreement periodically, at least once per year.  They should amend or revise it as changing needs, conditions</w:t>
      </w:r>
      <w:r w:rsidR="00BF19A9">
        <w:t>,</w:t>
      </w:r>
      <w:r>
        <w:t xml:space="preserve"> or technology warrant.</w:t>
      </w:r>
    </w:p>
    <w:p w:rsidR="00D90F2B" w:rsidRDefault="00D90F2B" w14:paraId="5F76FB89" w14:textId="77777777"/>
    <w:p w:rsidRPr="00BF19A9" w:rsidR="00BF19A9" w:rsidRDefault="00BF19A9" w14:paraId="729C93AE" w14:textId="77777777">
      <w:pPr>
        <w:rPr>
          <w:b/>
        </w:rPr>
      </w:pPr>
      <w:r>
        <w:rPr>
          <w:b/>
        </w:rPr>
        <w:t>7.  Legal Framework – Disclaimer</w:t>
      </w:r>
    </w:p>
    <w:p w:rsidR="00D90F2B" w:rsidRDefault="00D90F2B" w14:paraId="7BDA5D0A" w14:textId="77777777"/>
    <w:p w:rsidR="00D90F2B" w:rsidRDefault="00D90F2B" w14:paraId="033038F4" w14:textId="77777777">
      <w:r>
        <w:t>This is a voluntary n</w:t>
      </w:r>
      <w:r w:rsidR="00B21A9E">
        <w:t>on-binding agreement between the State</w:t>
      </w:r>
      <w:r>
        <w:t xml:space="preserve"> and EPA regarding the exchange of TRI data through the Exchange Network.  This agreement does not fulfill any specific federal reporting requirements and participation does not supersede any data or information management and reporting requirements of any grant, contract, or other agreement.  </w:t>
      </w:r>
    </w:p>
    <w:p w:rsidR="00D90F2B" w:rsidRDefault="00D90F2B" w14:paraId="6C05A6E7" w14:textId="77777777"/>
    <w:p w:rsidR="00D90F2B" w:rsidRDefault="00911E20" w14:paraId="2FE0E9F3" w14:textId="77777777">
      <w:pPr>
        <w:rPr>
          <w:b/>
          <w:sz w:val="26"/>
          <w:szCs w:val="26"/>
        </w:rPr>
      </w:pPr>
      <w:r>
        <w:rPr>
          <w:b/>
          <w:sz w:val="26"/>
          <w:szCs w:val="26"/>
        </w:rPr>
        <w:br w:type="page"/>
      </w:r>
      <w:r w:rsidR="00D90F2B">
        <w:rPr>
          <w:b/>
          <w:sz w:val="26"/>
          <w:szCs w:val="26"/>
        </w:rPr>
        <w:t>8</w:t>
      </w:r>
      <w:r w:rsidR="00D90F2B">
        <w:rPr>
          <w:b/>
          <w:sz w:val="26"/>
          <w:szCs w:val="26"/>
        </w:rPr>
        <w:tab/>
      </w:r>
      <w:r w:rsidR="00D90F2B">
        <w:rPr>
          <w:b/>
          <w:sz w:val="26"/>
          <w:szCs w:val="26"/>
        </w:rPr>
        <w:t>Points of Contact</w:t>
      </w:r>
    </w:p>
    <w:p w:rsidR="00D90F2B" w:rsidRDefault="00D90F2B" w14:paraId="627BEDC3" w14:textId="77777777"/>
    <w:p w:rsidR="00D90F2B" w:rsidRDefault="00D90F2B" w14:paraId="475D2D8D" w14:textId="77777777">
      <w:r>
        <w:t>The following individuals have been identified as points of contact within each participating agency:</w:t>
      </w:r>
    </w:p>
    <w:p w:rsidR="00D90F2B" w:rsidRDefault="00D90F2B" w14:paraId="5CA960A6" w14:textId="77777777"/>
    <w:tbl>
      <w:tblPr>
        <w:tblW w:w="90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0"/>
        <w:gridCol w:w="4770"/>
      </w:tblGrid>
      <w:tr w:rsidR="00D90F2B" w14:paraId="6C6D360A" w14:textId="77777777">
        <w:tc>
          <w:tcPr>
            <w:tcW w:w="4320" w:type="dxa"/>
          </w:tcPr>
          <w:p w:rsidR="00D90F2B" w:rsidRDefault="00D90F2B" w14:paraId="68EDA5C1" w14:textId="77777777">
            <w:r>
              <w:t>[State] Primary Contact</w:t>
            </w:r>
          </w:p>
          <w:p w:rsidR="00D90F2B" w:rsidRDefault="00D90F2B" w14:paraId="7FFCDB10" w14:textId="77777777">
            <w:r>
              <w:t>Name</w:t>
            </w:r>
            <w:r w:rsidR="00F62DAB">
              <w:t>:</w:t>
            </w:r>
          </w:p>
          <w:p w:rsidR="00D90F2B" w:rsidRDefault="00D90F2B" w14:paraId="226D01FB" w14:textId="77777777">
            <w:r>
              <w:t>Title</w:t>
            </w:r>
            <w:r w:rsidR="00F62DAB">
              <w:t>:</w:t>
            </w:r>
          </w:p>
          <w:p w:rsidR="00D90F2B" w:rsidRDefault="00D90F2B" w14:paraId="4AF1B5C0" w14:textId="77777777">
            <w:r>
              <w:t>Agency</w:t>
            </w:r>
            <w:r w:rsidR="00F62DAB">
              <w:t>:</w:t>
            </w:r>
          </w:p>
          <w:p w:rsidR="00D90F2B" w:rsidRDefault="00D90F2B" w14:paraId="35D6701A" w14:textId="77777777">
            <w:r>
              <w:t>Phone</w:t>
            </w:r>
            <w:r w:rsidR="00F62DAB">
              <w:t>:</w:t>
            </w:r>
          </w:p>
          <w:p w:rsidR="00D90F2B" w:rsidRDefault="00F62DAB" w14:paraId="7E9757C1" w14:textId="77777777">
            <w:r>
              <w:t>E</w:t>
            </w:r>
            <w:r w:rsidR="00D90F2B">
              <w:t>mail</w:t>
            </w:r>
            <w:r>
              <w:t>:</w:t>
            </w:r>
          </w:p>
          <w:p w:rsidR="00D90F2B" w:rsidRDefault="00D90F2B" w14:paraId="0F0E7DCE" w14:textId="77777777"/>
        </w:tc>
        <w:tc>
          <w:tcPr>
            <w:tcW w:w="4770" w:type="dxa"/>
          </w:tcPr>
          <w:p w:rsidR="00D90F2B" w:rsidRDefault="00D90F2B" w14:paraId="39FCF086" w14:textId="77777777">
            <w:r>
              <w:t>EPA Primary Contact</w:t>
            </w:r>
          </w:p>
          <w:p w:rsidR="00D90F2B" w:rsidRDefault="00D90F2B" w14:paraId="37A4105C" w14:textId="5A26C82C">
            <w:r>
              <w:t>Name:</w:t>
            </w:r>
            <w:r w:rsidR="00622270">
              <w:tab/>
            </w:r>
            <w:r w:rsidR="00CE6281">
              <w:t>Hari Karne</w:t>
            </w:r>
            <w:r w:rsidR="002E0ECD">
              <w:t xml:space="preserve"> </w:t>
            </w:r>
          </w:p>
          <w:p w:rsidR="00D90F2B" w:rsidRDefault="00D90F2B" w14:paraId="2C145E6F" w14:textId="04AED3AC">
            <w:r>
              <w:t>Title</w:t>
            </w:r>
            <w:r w:rsidR="00573CAF">
              <w:t xml:space="preserve">: </w:t>
            </w:r>
            <w:r w:rsidR="00DC3D0F">
              <w:t>Biologist</w:t>
            </w:r>
          </w:p>
          <w:p w:rsidR="00D90F2B" w:rsidRDefault="00D90F2B" w14:paraId="247786F7" w14:textId="77777777">
            <w:r>
              <w:t>Agency: EPA</w:t>
            </w:r>
          </w:p>
          <w:p w:rsidR="00D90F2B" w:rsidRDefault="007D1211" w14:paraId="188185E1" w14:textId="2536F1AF">
            <w:r>
              <w:t>Phone</w:t>
            </w:r>
            <w:r w:rsidR="00CB205A">
              <w:t>:</w:t>
            </w:r>
            <w:r w:rsidR="00622270">
              <w:tab/>
            </w:r>
            <w:r>
              <w:t>(202)</w:t>
            </w:r>
            <w:r w:rsidR="008A7754">
              <w:t xml:space="preserve"> 566</w:t>
            </w:r>
            <w:r>
              <w:t>-</w:t>
            </w:r>
            <w:r w:rsidR="003C7BB1">
              <w:t>0</w:t>
            </w:r>
            <w:r w:rsidR="00573CAF">
              <w:t>595</w:t>
            </w:r>
          </w:p>
          <w:p w:rsidR="00D90F2B" w:rsidRDefault="00D90F2B" w14:paraId="3BF9BB8A" w14:textId="772F707E">
            <w:r>
              <w:t>Email:</w:t>
            </w:r>
            <w:r w:rsidR="00BA705B">
              <w:t xml:space="preserve"> </w:t>
            </w:r>
            <w:r w:rsidRPr="00BA705B" w:rsidR="00BA705B">
              <w:t>Karne.Harichandana@epa.gov</w:t>
            </w:r>
          </w:p>
          <w:p w:rsidR="00D90F2B" w:rsidRDefault="00D90F2B" w14:paraId="769C7CD0" w14:textId="77777777"/>
        </w:tc>
      </w:tr>
      <w:tr w:rsidR="00D90F2B" w14:paraId="362E7A70" w14:textId="77777777">
        <w:tc>
          <w:tcPr>
            <w:tcW w:w="4320" w:type="dxa"/>
          </w:tcPr>
          <w:p w:rsidR="00D90F2B" w:rsidRDefault="00D90F2B" w14:paraId="34BF0EDA" w14:textId="77777777">
            <w:r>
              <w:t>[State] Alternate Contact</w:t>
            </w:r>
          </w:p>
          <w:p w:rsidR="00D90F2B" w:rsidRDefault="00D90F2B" w14:paraId="20A9865B" w14:textId="77777777">
            <w:r>
              <w:t>Name</w:t>
            </w:r>
            <w:r w:rsidR="00F62DAB">
              <w:t>:</w:t>
            </w:r>
          </w:p>
          <w:p w:rsidR="00D90F2B" w:rsidRDefault="00D90F2B" w14:paraId="22941DA3" w14:textId="77777777">
            <w:r>
              <w:t>Title</w:t>
            </w:r>
            <w:r w:rsidR="00F62DAB">
              <w:t>:</w:t>
            </w:r>
          </w:p>
          <w:p w:rsidR="00D90F2B" w:rsidRDefault="00D90F2B" w14:paraId="2741C21E" w14:textId="77777777">
            <w:r>
              <w:t>Agency</w:t>
            </w:r>
            <w:r w:rsidR="00F62DAB">
              <w:t>:</w:t>
            </w:r>
          </w:p>
          <w:p w:rsidR="00D90F2B" w:rsidRDefault="00D90F2B" w14:paraId="20C0D2D1" w14:textId="77777777">
            <w:r>
              <w:t>Phone</w:t>
            </w:r>
            <w:r w:rsidR="00F62DAB">
              <w:t>:</w:t>
            </w:r>
          </w:p>
          <w:p w:rsidR="00D90F2B" w:rsidRDefault="00F62DAB" w14:paraId="20644E34" w14:textId="77777777">
            <w:r>
              <w:t>E</w:t>
            </w:r>
            <w:r w:rsidR="00D90F2B">
              <w:t>mail</w:t>
            </w:r>
            <w:r>
              <w:t>:</w:t>
            </w:r>
          </w:p>
          <w:p w:rsidR="00D90F2B" w:rsidRDefault="00D90F2B" w14:paraId="4318F629" w14:textId="77777777"/>
        </w:tc>
        <w:tc>
          <w:tcPr>
            <w:tcW w:w="4770" w:type="dxa"/>
          </w:tcPr>
          <w:p w:rsidR="00D90F2B" w:rsidRDefault="00D90F2B" w14:paraId="2FA8517F" w14:textId="77777777">
            <w:r>
              <w:t>EPA Alternate Contact</w:t>
            </w:r>
          </w:p>
          <w:p w:rsidR="00D90F2B" w:rsidRDefault="00D90F2B" w14:paraId="674B3D5E" w14:textId="5A680EFD">
            <w:r>
              <w:t>Name</w:t>
            </w:r>
            <w:proofErr w:type="gramStart"/>
            <w:r>
              <w:t>:</w:t>
            </w:r>
            <w:r w:rsidR="00622270">
              <w:tab/>
            </w:r>
            <w:r w:rsidR="00622270">
              <w:t xml:space="preserve"> </w:t>
            </w:r>
            <w:r w:rsidR="002E0ECD">
              <w:t>David</w:t>
            </w:r>
            <w:proofErr w:type="gramEnd"/>
            <w:r w:rsidR="002E0ECD">
              <w:t xml:space="preserve"> Turk</w:t>
            </w:r>
          </w:p>
          <w:p w:rsidRPr="00CB205A" w:rsidR="00D90F2B" w:rsidRDefault="00D90F2B" w14:paraId="4C7E1CE2" w14:textId="6A8B1621">
            <w:pPr>
              <w:rPr>
                <w:sz w:val="22"/>
                <w:szCs w:val="22"/>
              </w:rPr>
            </w:pPr>
            <w:r>
              <w:t>Title</w:t>
            </w:r>
            <w:proofErr w:type="gramStart"/>
            <w:r>
              <w:t>:</w:t>
            </w:r>
            <w:r w:rsidR="00622270">
              <w:tab/>
            </w:r>
            <w:r w:rsidR="00622270">
              <w:t xml:space="preserve"> </w:t>
            </w:r>
            <w:r w:rsidR="00573CAF">
              <w:t>Branch</w:t>
            </w:r>
            <w:proofErr w:type="gramEnd"/>
            <w:r w:rsidR="00573CAF">
              <w:t xml:space="preserve"> Supervisor </w:t>
            </w:r>
          </w:p>
          <w:p w:rsidR="00D90F2B" w:rsidRDefault="00D90F2B" w14:paraId="1D26ECDC" w14:textId="77777777">
            <w:r>
              <w:t>Agency: EPA</w:t>
            </w:r>
          </w:p>
          <w:p w:rsidR="00D90F2B" w:rsidRDefault="00D90F2B" w14:paraId="795976D4" w14:textId="3543F35E">
            <w:r>
              <w:t>Phone</w:t>
            </w:r>
            <w:proofErr w:type="gramStart"/>
            <w:r w:rsidR="00622270">
              <w:t>:</w:t>
            </w:r>
            <w:r w:rsidR="00622270">
              <w:tab/>
            </w:r>
            <w:r w:rsidR="00622270">
              <w:t xml:space="preserve"> </w:t>
            </w:r>
            <w:r>
              <w:t>(</w:t>
            </w:r>
            <w:proofErr w:type="gramEnd"/>
            <w:r>
              <w:t>202) 566-</w:t>
            </w:r>
            <w:r w:rsidR="00573CAF">
              <w:t>1527</w:t>
            </w:r>
          </w:p>
          <w:p w:rsidR="00D90F2B" w:rsidRDefault="00D90F2B" w14:paraId="7830AB15" w14:textId="6F139808">
            <w:r>
              <w:t>Email:</w:t>
            </w:r>
            <w:r w:rsidR="00622270">
              <w:tab/>
            </w:r>
            <w:r w:rsidR="00622270">
              <w:t xml:space="preserve"> </w:t>
            </w:r>
            <w:r w:rsidR="00BA705B">
              <w:t>Turk.David@epa.gov</w:t>
            </w:r>
          </w:p>
          <w:p w:rsidR="00D90F2B" w:rsidRDefault="00D90F2B" w14:paraId="7E203F6F" w14:textId="77777777"/>
        </w:tc>
      </w:tr>
    </w:tbl>
    <w:p w:rsidR="00D90F2B" w:rsidRDefault="00D90F2B" w14:paraId="301BF0EE" w14:textId="77777777"/>
    <w:p w:rsidR="00D90F2B" w:rsidRDefault="00D90F2B" w14:paraId="3AF6B6EC" w14:textId="77777777">
      <w:pPr>
        <w:rPr>
          <w:b/>
          <w:sz w:val="26"/>
          <w:szCs w:val="26"/>
        </w:rPr>
      </w:pPr>
      <w:r>
        <w:rPr>
          <w:b/>
          <w:sz w:val="26"/>
          <w:szCs w:val="26"/>
        </w:rPr>
        <w:t>9</w:t>
      </w:r>
      <w:r>
        <w:rPr>
          <w:b/>
          <w:sz w:val="26"/>
          <w:szCs w:val="26"/>
        </w:rPr>
        <w:tab/>
      </w:r>
      <w:r>
        <w:rPr>
          <w:b/>
          <w:sz w:val="26"/>
          <w:szCs w:val="26"/>
        </w:rPr>
        <w:t>Approvals</w:t>
      </w:r>
    </w:p>
    <w:p w:rsidR="00D90F2B" w:rsidRDefault="00D90F2B" w14:paraId="25D45B1F" w14:textId="77777777"/>
    <w:p w:rsidR="00D90F2B" w:rsidRDefault="00B21A9E" w14:paraId="5EB87081" w14:textId="77777777">
      <w:r>
        <w:tab/>
      </w:r>
      <w:r>
        <w:t>[</w:t>
      </w:r>
      <w:r w:rsidR="00D90F2B">
        <w:t>State Agency name]</w:t>
      </w:r>
    </w:p>
    <w:p w:rsidR="00D90F2B" w:rsidRDefault="00D90F2B" w14:paraId="64C0E033" w14:textId="77777777"/>
    <w:p w:rsidR="00D90F2B" w:rsidRDefault="00D90F2B" w14:paraId="5665EE7A" w14:textId="77777777"/>
    <w:p w:rsidR="00D90F2B" w:rsidRDefault="00D90F2B" w14:paraId="1F7A9204" w14:textId="77777777">
      <w:r>
        <w:tab/>
      </w:r>
      <w:r>
        <w:t>_________________________________________</w:t>
      </w:r>
      <w:proofErr w:type="gramStart"/>
      <w:r>
        <w:t>__</w:t>
      </w:r>
      <w:proofErr w:type="gramEnd"/>
      <w:r>
        <w:t>__</w:t>
      </w:r>
      <w:r>
        <w:tab/>
      </w:r>
      <w:r>
        <w:tab/>
      </w:r>
      <w:r>
        <w:t>___________</w:t>
      </w:r>
    </w:p>
    <w:p w:rsidR="00D90F2B" w:rsidRDefault="00D90F2B" w14:paraId="3C40792C" w14:textId="77777777">
      <w:r>
        <w:tab/>
      </w:r>
      <w:r>
        <w:t xml:space="preserve">[type name of </w:t>
      </w:r>
      <w:r w:rsidR="009740C8">
        <w:t>S</w:t>
      </w:r>
      <w:r>
        <w:t>tate official]</w:t>
      </w:r>
      <w:r>
        <w:tab/>
      </w:r>
      <w:r>
        <w:tab/>
      </w:r>
      <w:r>
        <w:tab/>
      </w:r>
      <w:r>
        <w:tab/>
      </w:r>
      <w:r>
        <w:tab/>
      </w:r>
      <w:r>
        <w:tab/>
      </w:r>
      <w:r>
        <w:t>Date</w:t>
      </w:r>
    </w:p>
    <w:p w:rsidR="00D90F2B" w:rsidRDefault="00D90F2B" w14:paraId="10755F09" w14:textId="77777777"/>
    <w:p w:rsidR="00D90F2B" w:rsidRDefault="00D90F2B" w14:paraId="01CB8BC7" w14:textId="77777777"/>
    <w:p w:rsidR="00D90F2B" w:rsidRDefault="00D90F2B" w14:paraId="78BE0AE9" w14:textId="77777777">
      <w:r>
        <w:tab/>
      </w:r>
      <w:r>
        <w:t>US EPA Headquarters</w:t>
      </w:r>
    </w:p>
    <w:p w:rsidR="00D90F2B" w:rsidRDefault="00D90F2B" w14:paraId="2DB580A3" w14:textId="77777777"/>
    <w:p w:rsidR="00D90F2B" w:rsidRDefault="00D90F2B" w14:paraId="2714BEAA" w14:textId="77777777">
      <w:r>
        <w:tab/>
      </w:r>
      <w:proofErr w:type="gramStart"/>
      <w:r>
        <w:t xml:space="preserve">______________________________________________   </w:t>
      </w:r>
      <w:r>
        <w:tab/>
      </w:r>
      <w:r>
        <w:tab/>
      </w:r>
      <w:proofErr w:type="gramEnd"/>
      <w:r>
        <w:t>____________</w:t>
      </w:r>
    </w:p>
    <w:p w:rsidR="00AA2B16" w:rsidRDefault="00D90F2B" w14:paraId="61E3443E" w14:textId="461106DC">
      <w:r>
        <w:tab/>
      </w:r>
      <w:r w:rsidR="002E0ECD">
        <w:t>Kevin DeBell</w:t>
      </w:r>
      <w:r w:rsidR="00AA2B16">
        <w:t>,</w:t>
      </w:r>
      <w:r w:rsidR="00187D5F">
        <w:t xml:space="preserve"> </w:t>
      </w:r>
      <w:r w:rsidR="00AA2B16">
        <w:t xml:space="preserve">Division </w:t>
      </w:r>
      <w:r w:rsidR="00187D5F">
        <w:t>Dir</w:t>
      </w:r>
      <w:r w:rsidR="00882DE8">
        <w:t>ector</w:t>
      </w:r>
      <w:r w:rsidR="00882DE8">
        <w:tab/>
      </w:r>
      <w:r w:rsidR="00882DE8">
        <w:tab/>
      </w:r>
      <w:r w:rsidR="00882DE8">
        <w:tab/>
      </w:r>
      <w:r w:rsidR="00882DE8">
        <w:tab/>
      </w:r>
      <w:r w:rsidR="00AA2B16">
        <w:t>Date</w:t>
      </w:r>
    </w:p>
    <w:p w:rsidR="0077354C" w:rsidP="0077354C" w:rsidRDefault="0077354C" w14:paraId="0E14B314" w14:textId="77777777">
      <w:pPr>
        <w:ind w:firstLine="720"/>
      </w:pPr>
      <w:r w:rsidRPr="0077354C">
        <w:t>Chemical Information, Prioritization, and TRI Division</w:t>
      </w:r>
    </w:p>
    <w:p w:rsidR="00AF4F03" w:rsidP="0077354C" w:rsidRDefault="00E72CF5" w14:paraId="1C3EF82B" w14:textId="4A3DB09A">
      <w:pPr>
        <w:ind w:firstLine="720"/>
      </w:pPr>
      <w:r>
        <w:t>Office of Pollution Prevention and Toxics</w:t>
      </w:r>
    </w:p>
    <w:p w:rsidR="00D90F2B" w:rsidRDefault="00AF4F03" w14:paraId="36C339CD" w14:textId="19A93207">
      <w:r>
        <w:tab/>
      </w:r>
      <w:r w:rsidR="00E72CF5">
        <w:t>Office of Chemical Safety and Pollution Prevention</w:t>
      </w:r>
    </w:p>
    <w:sectPr w:rsidR="00D90F2B">
      <w:headerReference w:type="default" r:id="rId11"/>
      <w:footerReference w:type="defaul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429" w:rsidRDefault="003D7429" w14:paraId="01C2FF64" w14:textId="77777777">
      <w:r>
        <w:separator/>
      </w:r>
    </w:p>
  </w:endnote>
  <w:endnote w:type="continuationSeparator" w:id="0">
    <w:p w:rsidR="003D7429" w:rsidRDefault="003D7429" w14:paraId="287D86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EBF" w:rsidP="00FB2816" w:rsidRDefault="00722EBF" w14:paraId="2CDA9D1F" w14:textId="58BFF511">
    <w:pPr>
      <w:pStyle w:val="Footer"/>
    </w:pPr>
    <w:r>
      <w:t>Model MOA</w:t>
    </w:r>
    <w:r w:rsidR="0037691C">
      <w:t xml:space="preserve"> </w:t>
    </w:r>
    <w:r w:rsidR="00DF1205">
      <w:t xml:space="preserve">June </w:t>
    </w:r>
    <w:r w:rsidR="0037691C">
      <w:t>20</w:t>
    </w:r>
    <w:r w:rsidR="00DF1205">
      <w:t>2</w:t>
    </w:r>
    <w:r w:rsidR="00AD426A">
      <w:t>6</w:t>
    </w:r>
    <w:r w:rsidR="0037691C">
      <w:t xml:space="preserve"> V1.0</w:t>
    </w:r>
    <w:r w:rsidR="00AD426A">
      <w:t>7</w:t>
    </w:r>
    <w:r>
      <w:tab/>
    </w:r>
    <w:r>
      <w:rPr>
        <w:rStyle w:val="PageNumber"/>
      </w:rPr>
      <w:fldChar w:fldCharType="begin"/>
    </w:r>
    <w:r>
      <w:rPr>
        <w:rStyle w:val="PageNumber"/>
      </w:rPr>
      <w:instrText xml:space="preserve"> PAGE </w:instrText>
    </w:r>
    <w:r>
      <w:rPr>
        <w:rStyle w:val="PageNumber"/>
      </w:rPr>
      <w:fldChar w:fldCharType="separate"/>
    </w:r>
    <w:r w:rsidR="004C66B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429" w:rsidRDefault="003D7429" w14:paraId="26D4954D" w14:textId="77777777">
      <w:r>
        <w:separator/>
      </w:r>
    </w:p>
  </w:footnote>
  <w:footnote w:type="continuationSeparator" w:id="0">
    <w:p w:rsidR="003D7429" w:rsidRDefault="003D7429" w14:paraId="2A847E2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C963328" w:rsidTr="5C963328" w14:paraId="07BE4FFA" w14:textId="77777777">
      <w:trPr>
        <w:trHeight w:val="300"/>
      </w:trPr>
      <w:tc>
        <w:tcPr>
          <w:tcW w:w="2880" w:type="dxa"/>
        </w:tcPr>
        <w:p w:rsidR="5C963328" w:rsidP="5C963328" w:rsidRDefault="5C963328" w14:paraId="0D07CFD0" w14:textId="634BA9BC">
          <w:pPr>
            <w:pStyle w:val="Header"/>
            <w:ind w:left="-115"/>
          </w:pPr>
        </w:p>
      </w:tc>
      <w:tc>
        <w:tcPr>
          <w:tcW w:w="2880" w:type="dxa"/>
        </w:tcPr>
        <w:p w:rsidR="5C963328" w:rsidP="5C963328" w:rsidRDefault="5C963328" w14:paraId="03D1AA4F" w14:textId="7859B468">
          <w:pPr>
            <w:pStyle w:val="Header"/>
            <w:jc w:val="center"/>
          </w:pPr>
        </w:p>
      </w:tc>
      <w:tc>
        <w:tcPr>
          <w:tcW w:w="2880" w:type="dxa"/>
        </w:tcPr>
        <w:p w:rsidR="5C963328" w:rsidP="5C963328" w:rsidRDefault="5C963328" w14:paraId="37998E48" w14:textId="7E9B3D19">
          <w:pPr>
            <w:pStyle w:val="Header"/>
            <w:ind w:right="-115"/>
            <w:jc w:val="right"/>
          </w:pPr>
        </w:p>
      </w:tc>
    </w:tr>
  </w:tbl>
  <w:p w:rsidR="00DC1340" w:rsidRDefault="00DC1340" w14:paraId="42DF07C2" w14:textId="067E40C8">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96"/>
    <w:rsid w:val="00015D7E"/>
    <w:rsid w:val="00021160"/>
    <w:rsid w:val="000220FE"/>
    <w:rsid w:val="00023A01"/>
    <w:rsid w:val="00025548"/>
    <w:rsid w:val="000256E2"/>
    <w:rsid w:val="00031D20"/>
    <w:rsid w:val="000357E5"/>
    <w:rsid w:val="00036284"/>
    <w:rsid w:val="00042012"/>
    <w:rsid w:val="000448B7"/>
    <w:rsid w:val="000518B7"/>
    <w:rsid w:val="00052587"/>
    <w:rsid w:val="00064022"/>
    <w:rsid w:val="0007664D"/>
    <w:rsid w:val="000930D1"/>
    <w:rsid w:val="00093229"/>
    <w:rsid w:val="00094135"/>
    <w:rsid w:val="0009485A"/>
    <w:rsid w:val="000B11B9"/>
    <w:rsid w:val="000C196B"/>
    <w:rsid w:val="000C450A"/>
    <w:rsid w:val="000D0D46"/>
    <w:rsid w:val="000D10FF"/>
    <w:rsid w:val="000D2FEE"/>
    <w:rsid w:val="000D3503"/>
    <w:rsid w:val="000D35AC"/>
    <w:rsid w:val="000E3F94"/>
    <w:rsid w:val="000E7ADD"/>
    <w:rsid w:val="000F70C7"/>
    <w:rsid w:val="0010394F"/>
    <w:rsid w:val="00120326"/>
    <w:rsid w:val="00127DC3"/>
    <w:rsid w:val="00131585"/>
    <w:rsid w:val="00132A67"/>
    <w:rsid w:val="00135520"/>
    <w:rsid w:val="00143C46"/>
    <w:rsid w:val="00157180"/>
    <w:rsid w:val="00161E86"/>
    <w:rsid w:val="00161F85"/>
    <w:rsid w:val="00166395"/>
    <w:rsid w:val="00167D6E"/>
    <w:rsid w:val="00176D62"/>
    <w:rsid w:val="00184BB6"/>
    <w:rsid w:val="00187D5F"/>
    <w:rsid w:val="001A3C00"/>
    <w:rsid w:val="001B050E"/>
    <w:rsid w:val="001B3B34"/>
    <w:rsid w:val="001B76E9"/>
    <w:rsid w:val="001C08E1"/>
    <w:rsid w:val="001C6167"/>
    <w:rsid w:val="001F4CA8"/>
    <w:rsid w:val="00204675"/>
    <w:rsid w:val="00221A3C"/>
    <w:rsid w:val="002234CD"/>
    <w:rsid w:val="00232B01"/>
    <w:rsid w:val="0024060A"/>
    <w:rsid w:val="0024082C"/>
    <w:rsid w:val="002412C3"/>
    <w:rsid w:val="0024220F"/>
    <w:rsid w:val="00242453"/>
    <w:rsid w:val="0024362F"/>
    <w:rsid w:val="00256ADD"/>
    <w:rsid w:val="00262035"/>
    <w:rsid w:val="00272FEF"/>
    <w:rsid w:val="00273F87"/>
    <w:rsid w:val="002A2964"/>
    <w:rsid w:val="002A29A7"/>
    <w:rsid w:val="002A6023"/>
    <w:rsid w:val="002A77B5"/>
    <w:rsid w:val="002B1F4F"/>
    <w:rsid w:val="002C2774"/>
    <w:rsid w:val="002E0ECD"/>
    <w:rsid w:val="002F466C"/>
    <w:rsid w:val="002F6A6B"/>
    <w:rsid w:val="0030430A"/>
    <w:rsid w:val="00306B7B"/>
    <w:rsid w:val="00322FBB"/>
    <w:rsid w:val="003232A4"/>
    <w:rsid w:val="00333F29"/>
    <w:rsid w:val="00334AF2"/>
    <w:rsid w:val="00340211"/>
    <w:rsid w:val="00341887"/>
    <w:rsid w:val="00346DB2"/>
    <w:rsid w:val="00354B8A"/>
    <w:rsid w:val="003613F8"/>
    <w:rsid w:val="0036434E"/>
    <w:rsid w:val="003665B9"/>
    <w:rsid w:val="0037691C"/>
    <w:rsid w:val="0038541D"/>
    <w:rsid w:val="003868B6"/>
    <w:rsid w:val="003939E8"/>
    <w:rsid w:val="00394CCE"/>
    <w:rsid w:val="00395F47"/>
    <w:rsid w:val="003A5039"/>
    <w:rsid w:val="003B1377"/>
    <w:rsid w:val="003C5288"/>
    <w:rsid w:val="003C7BB1"/>
    <w:rsid w:val="003D7429"/>
    <w:rsid w:val="003E0D3F"/>
    <w:rsid w:val="003E77FF"/>
    <w:rsid w:val="003F52BD"/>
    <w:rsid w:val="00404494"/>
    <w:rsid w:val="00414096"/>
    <w:rsid w:val="00416BB9"/>
    <w:rsid w:val="0041771D"/>
    <w:rsid w:val="00423D75"/>
    <w:rsid w:val="004301EF"/>
    <w:rsid w:val="00465B52"/>
    <w:rsid w:val="0047252F"/>
    <w:rsid w:val="00474354"/>
    <w:rsid w:val="00487B61"/>
    <w:rsid w:val="00487EE1"/>
    <w:rsid w:val="004913F1"/>
    <w:rsid w:val="00495971"/>
    <w:rsid w:val="00497047"/>
    <w:rsid w:val="00497395"/>
    <w:rsid w:val="004A02F6"/>
    <w:rsid w:val="004B1D5C"/>
    <w:rsid w:val="004B2DA9"/>
    <w:rsid w:val="004B6D66"/>
    <w:rsid w:val="004B7972"/>
    <w:rsid w:val="004C18D6"/>
    <w:rsid w:val="004C66BB"/>
    <w:rsid w:val="004C7268"/>
    <w:rsid w:val="004E2F42"/>
    <w:rsid w:val="004F3149"/>
    <w:rsid w:val="00513372"/>
    <w:rsid w:val="005258F0"/>
    <w:rsid w:val="00525A3F"/>
    <w:rsid w:val="00525DD1"/>
    <w:rsid w:val="005263CC"/>
    <w:rsid w:val="00532FC4"/>
    <w:rsid w:val="00535D30"/>
    <w:rsid w:val="005448FD"/>
    <w:rsid w:val="005523B7"/>
    <w:rsid w:val="00564DDF"/>
    <w:rsid w:val="00570938"/>
    <w:rsid w:val="00571603"/>
    <w:rsid w:val="00572EAB"/>
    <w:rsid w:val="00573CAF"/>
    <w:rsid w:val="00593F87"/>
    <w:rsid w:val="005948AF"/>
    <w:rsid w:val="005A1D7A"/>
    <w:rsid w:val="005A4B29"/>
    <w:rsid w:val="005A6815"/>
    <w:rsid w:val="005B32ED"/>
    <w:rsid w:val="005B4033"/>
    <w:rsid w:val="005D07DD"/>
    <w:rsid w:val="005D3ADF"/>
    <w:rsid w:val="005D4A1D"/>
    <w:rsid w:val="005D79DB"/>
    <w:rsid w:val="005E6179"/>
    <w:rsid w:val="00601E53"/>
    <w:rsid w:val="006052E8"/>
    <w:rsid w:val="00617C6C"/>
    <w:rsid w:val="00622270"/>
    <w:rsid w:val="006316E7"/>
    <w:rsid w:val="00633DB4"/>
    <w:rsid w:val="00640786"/>
    <w:rsid w:val="00641388"/>
    <w:rsid w:val="006466FB"/>
    <w:rsid w:val="00664315"/>
    <w:rsid w:val="00680EE2"/>
    <w:rsid w:val="006818E1"/>
    <w:rsid w:val="0068583D"/>
    <w:rsid w:val="00685AC2"/>
    <w:rsid w:val="00685ACD"/>
    <w:rsid w:val="006A0F79"/>
    <w:rsid w:val="006B322A"/>
    <w:rsid w:val="006B3299"/>
    <w:rsid w:val="006C273B"/>
    <w:rsid w:val="006D1D7A"/>
    <w:rsid w:val="006D5C9E"/>
    <w:rsid w:val="006E2DED"/>
    <w:rsid w:val="006E6DB4"/>
    <w:rsid w:val="006F1D38"/>
    <w:rsid w:val="006F3834"/>
    <w:rsid w:val="006F72F8"/>
    <w:rsid w:val="00717906"/>
    <w:rsid w:val="0072194A"/>
    <w:rsid w:val="00721B99"/>
    <w:rsid w:val="00722CAD"/>
    <w:rsid w:val="00722EBF"/>
    <w:rsid w:val="00723183"/>
    <w:rsid w:val="0074491F"/>
    <w:rsid w:val="00746B9E"/>
    <w:rsid w:val="0074753D"/>
    <w:rsid w:val="007504B0"/>
    <w:rsid w:val="00761F97"/>
    <w:rsid w:val="0077354C"/>
    <w:rsid w:val="00773D9F"/>
    <w:rsid w:val="00783213"/>
    <w:rsid w:val="00796EED"/>
    <w:rsid w:val="00797982"/>
    <w:rsid w:val="007A074B"/>
    <w:rsid w:val="007A2BE2"/>
    <w:rsid w:val="007A7269"/>
    <w:rsid w:val="007B34F6"/>
    <w:rsid w:val="007D1211"/>
    <w:rsid w:val="007E669F"/>
    <w:rsid w:val="00801E0F"/>
    <w:rsid w:val="0082247C"/>
    <w:rsid w:val="008249B1"/>
    <w:rsid w:val="00831105"/>
    <w:rsid w:val="00836B1F"/>
    <w:rsid w:val="00847C4D"/>
    <w:rsid w:val="00847E6A"/>
    <w:rsid w:val="00861945"/>
    <w:rsid w:val="00864215"/>
    <w:rsid w:val="00874DC6"/>
    <w:rsid w:val="0087747B"/>
    <w:rsid w:val="00877CA6"/>
    <w:rsid w:val="00882DE8"/>
    <w:rsid w:val="00884DEC"/>
    <w:rsid w:val="00894F2B"/>
    <w:rsid w:val="008A0FBB"/>
    <w:rsid w:val="008A538B"/>
    <w:rsid w:val="008A7754"/>
    <w:rsid w:val="008B0F96"/>
    <w:rsid w:val="008B1BA1"/>
    <w:rsid w:val="008B5DEE"/>
    <w:rsid w:val="008D6BCE"/>
    <w:rsid w:val="008D6CA9"/>
    <w:rsid w:val="008E67C3"/>
    <w:rsid w:val="00911D7E"/>
    <w:rsid w:val="00911E20"/>
    <w:rsid w:val="00914991"/>
    <w:rsid w:val="0092241E"/>
    <w:rsid w:val="009228D4"/>
    <w:rsid w:val="00925332"/>
    <w:rsid w:val="00925796"/>
    <w:rsid w:val="0093141F"/>
    <w:rsid w:val="00946FF2"/>
    <w:rsid w:val="00950A4F"/>
    <w:rsid w:val="00952875"/>
    <w:rsid w:val="00954B5F"/>
    <w:rsid w:val="00954FDC"/>
    <w:rsid w:val="0097248F"/>
    <w:rsid w:val="009740C8"/>
    <w:rsid w:val="009763EC"/>
    <w:rsid w:val="009A4471"/>
    <w:rsid w:val="009B466C"/>
    <w:rsid w:val="009C152E"/>
    <w:rsid w:val="009C30BE"/>
    <w:rsid w:val="009D3738"/>
    <w:rsid w:val="009E70B1"/>
    <w:rsid w:val="009F7296"/>
    <w:rsid w:val="00A0039C"/>
    <w:rsid w:val="00A021DD"/>
    <w:rsid w:val="00A130A8"/>
    <w:rsid w:val="00A13755"/>
    <w:rsid w:val="00A21609"/>
    <w:rsid w:val="00A22B36"/>
    <w:rsid w:val="00A304E2"/>
    <w:rsid w:val="00A34085"/>
    <w:rsid w:val="00A461F5"/>
    <w:rsid w:val="00A50FB4"/>
    <w:rsid w:val="00A639BA"/>
    <w:rsid w:val="00A64EED"/>
    <w:rsid w:val="00A72432"/>
    <w:rsid w:val="00A72594"/>
    <w:rsid w:val="00A746B3"/>
    <w:rsid w:val="00A87A53"/>
    <w:rsid w:val="00A9318E"/>
    <w:rsid w:val="00A975A5"/>
    <w:rsid w:val="00AA07A4"/>
    <w:rsid w:val="00AA2B16"/>
    <w:rsid w:val="00AA304A"/>
    <w:rsid w:val="00AB4480"/>
    <w:rsid w:val="00AB4A1B"/>
    <w:rsid w:val="00AC3A88"/>
    <w:rsid w:val="00AC5A29"/>
    <w:rsid w:val="00AD2821"/>
    <w:rsid w:val="00AD2B73"/>
    <w:rsid w:val="00AD2D2F"/>
    <w:rsid w:val="00AD426A"/>
    <w:rsid w:val="00AE34B9"/>
    <w:rsid w:val="00AE66A8"/>
    <w:rsid w:val="00AF4F03"/>
    <w:rsid w:val="00B21A9E"/>
    <w:rsid w:val="00B33597"/>
    <w:rsid w:val="00B40267"/>
    <w:rsid w:val="00B440F0"/>
    <w:rsid w:val="00B5706D"/>
    <w:rsid w:val="00B577E4"/>
    <w:rsid w:val="00B61EF5"/>
    <w:rsid w:val="00B71B42"/>
    <w:rsid w:val="00B76AEB"/>
    <w:rsid w:val="00B84A79"/>
    <w:rsid w:val="00B8634D"/>
    <w:rsid w:val="00B8779C"/>
    <w:rsid w:val="00B90EAC"/>
    <w:rsid w:val="00BA69E9"/>
    <w:rsid w:val="00BA705B"/>
    <w:rsid w:val="00BC6899"/>
    <w:rsid w:val="00BE6071"/>
    <w:rsid w:val="00BF19A9"/>
    <w:rsid w:val="00BF2436"/>
    <w:rsid w:val="00C0593C"/>
    <w:rsid w:val="00C106BB"/>
    <w:rsid w:val="00C12257"/>
    <w:rsid w:val="00C32108"/>
    <w:rsid w:val="00C4095A"/>
    <w:rsid w:val="00C443F8"/>
    <w:rsid w:val="00C452B5"/>
    <w:rsid w:val="00C57BEE"/>
    <w:rsid w:val="00C60957"/>
    <w:rsid w:val="00C71709"/>
    <w:rsid w:val="00C77100"/>
    <w:rsid w:val="00C84BAA"/>
    <w:rsid w:val="00C90D02"/>
    <w:rsid w:val="00C91833"/>
    <w:rsid w:val="00CB205A"/>
    <w:rsid w:val="00CB2633"/>
    <w:rsid w:val="00CC0D9D"/>
    <w:rsid w:val="00CC38A2"/>
    <w:rsid w:val="00CC539F"/>
    <w:rsid w:val="00CD4531"/>
    <w:rsid w:val="00CD6071"/>
    <w:rsid w:val="00CD6957"/>
    <w:rsid w:val="00CE09DF"/>
    <w:rsid w:val="00CE12C7"/>
    <w:rsid w:val="00CE2AD9"/>
    <w:rsid w:val="00CE6281"/>
    <w:rsid w:val="00CE647D"/>
    <w:rsid w:val="00CF4CEE"/>
    <w:rsid w:val="00CF7CC4"/>
    <w:rsid w:val="00CF7D93"/>
    <w:rsid w:val="00D01015"/>
    <w:rsid w:val="00D05EA7"/>
    <w:rsid w:val="00D0655A"/>
    <w:rsid w:val="00D0708B"/>
    <w:rsid w:val="00D10D8B"/>
    <w:rsid w:val="00D128A6"/>
    <w:rsid w:val="00D1306A"/>
    <w:rsid w:val="00D1609F"/>
    <w:rsid w:val="00D16E64"/>
    <w:rsid w:val="00D205A6"/>
    <w:rsid w:val="00D22B78"/>
    <w:rsid w:val="00D267AA"/>
    <w:rsid w:val="00D32971"/>
    <w:rsid w:val="00D369D7"/>
    <w:rsid w:val="00D3779C"/>
    <w:rsid w:val="00D40309"/>
    <w:rsid w:val="00D40872"/>
    <w:rsid w:val="00D41E0D"/>
    <w:rsid w:val="00D5223B"/>
    <w:rsid w:val="00D53BE4"/>
    <w:rsid w:val="00D57FA4"/>
    <w:rsid w:val="00D72B25"/>
    <w:rsid w:val="00D75432"/>
    <w:rsid w:val="00D82F04"/>
    <w:rsid w:val="00D90F2B"/>
    <w:rsid w:val="00DC1340"/>
    <w:rsid w:val="00DC3D0F"/>
    <w:rsid w:val="00DD57F7"/>
    <w:rsid w:val="00DE40B7"/>
    <w:rsid w:val="00DF1167"/>
    <w:rsid w:val="00DF1205"/>
    <w:rsid w:val="00DF2F0F"/>
    <w:rsid w:val="00DF427E"/>
    <w:rsid w:val="00DF5C5F"/>
    <w:rsid w:val="00DF7BB3"/>
    <w:rsid w:val="00E00868"/>
    <w:rsid w:val="00E06EC4"/>
    <w:rsid w:val="00E15899"/>
    <w:rsid w:val="00E159A2"/>
    <w:rsid w:val="00E22939"/>
    <w:rsid w:val="00E237C2"/>
    <w:rsid w:val="00E27441"/>
    <w:rsid w:val="00E33D4F"/>
    <w:rsid w:val="00E35B20"/>
    <w:rsid w:val="00E44475"/>
    <w:rsid w:val="00E47197"/>
    <w:rsid w:val="00E511B1"/>
    <w:rsid w:val="00E515BC"/>
    <w:rsid w:val="00E559C6"/>
    <w:rsid w:val="00E71F68"/>
    <w:rsid w:val="00E72CF5"/>
    <w:rsid w:val="00E86631"/>
    <w:rsid w:val="00EA70E1"/>
    <w:rsid w:val="00EB6D10"/>
    <w:rsid w:val="00EB7A97"/>
    <w:rsid w:val="00EC4AD6"/>
    <w:rsid w:val="00EC7B51"/>
    <w:rsid w:val="00ED3A74"/>
    <w:rsid w:val="00ED5728"/>
    <w:rsid w:val="00EE3FCD"/>
    <w:rsid w:val="00EE4948"/>
    <w:rsid w:val="00EE5846"/>
    <w:rsid w:val="00EF449D"/>
    <w:rsid w:val="00EF7C7B"/>
    <w:rsid w:val="00F0104C"/>
    <w:rsid w:val="00F03FAE"/>
    <w:rsid w:val="00F05141"/>
    <w:rsid w:val="00F107C1"/>
    <w:rsid w:val="00F23F3F"/>
    <w:rsid w:val="00F27304"/>
    <w:rsid w:val="00F3202F"/>
    <w:rsid w:val="00F33852"/>
    <w:rsid w:val="00F409EB"/>
    <w:rsid w:val="00F62DAB"/>
    <w:rsid w:val="00F62E01"/>
    <w:rsid w:val="00F70434"/>
    <w:rsid w:val="00F72C97"/>
    <w:rsid w:val="00F73407"/>
    <w:rsid w:val="00F75501"/>
    <w:rsid w:val="00F910FF"/>
    <w:rsid w:val="00F96D68"/>
    <w:rsid w:val="00FA2EED"/>
    <w:rsid w:val="00FA6108"/>
    <w:rsid w:val="00FA6B12"/>
    <w:rsid w:val="00FB251E"/>
    <w:rsid w:val="00FB2816"/>
    <w:rsid w:val="00FB2B24"/>
    <w:rsid w:val="00FB4FB9"/>
    <w:rsid w:val="00FB7C39"/>
    <w:rsid w:val="00FC6055"/>
    <w:rsid w:val="00FD3D68"/>
    <w:rsid w:val="00FD6ED6"/>
    <w:rsid w:val="00FE2726"/>
    <w:rsid w:val="00FE2A42"/>
    <w:rsid w:val="00FF3292"/>
    <w:rsid w:val="00FF4C54"/>
    <w:rsid w:val="00FF5755"/>
    <w:rsid w:val="212D3087"/>
    <w:rsid w:val="25DF006F"/>
    <w:rsid w:val="47C9F338"/>
    <w:rsid w:val="5C963328"/>
    <w:rsid w:val="75F55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7C2A3"/>
  <w15:chartTrackingRefBased/>
  <w15:docId w15:val="{5D425AF8-421D-48E1-8323-7E3B64DA5E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685AC2"/>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Comment Reference"/>
    <w:semiHidden/>
    <w:rPr>
      <w:sz w:val="16"/>
      <w:szCs w:val="16"/>
    </w:rPr>
  </w:style>
  <w:style w:type="paragraph" w:styleId="CommentText">
    <w:name w:val="Comment Text"/>
    <w:basedOn w:val="Normal"/>
    <w:semiHidden/>
    <w:rPr>
      <w:sz w:val="20"/>
      <w:szCs w:val="20"/>
    </w:rPr>
  </w:style>
  <w:style w:type="paragraph" w:styleId="CommentSubject">
    <w:name w:val="Comment Subject"/>
    <w:basedOn w:val="CommentText"/>
    <w:next w:val="CommentText"/>
    <w:semiHidden/>
    <w:rPr>
      <w:b/>
      <w:bCs/>
    </w:rPr>
  </w:style>
  <w:style w:type="paragraph" w:styleId="Footer">
    <w:name w:val="footer"/>
    <w:basedOn w:val="Normal"/>
    <w:rsid w:val="00685AC2"/>
    <w:pPr>
      <w:tabs>
        <w:tab w:val="center" w:pos="4320"/>
        <w:tab w:val="right" w:pos="8640"/>
      </w:tabs>
    </w:pPr>
  </w:style>
  <w:style w:type="character" w:styleId="PageNumber">
    <w:name w:val="page number"/>
    <w:basedOn w:val="DefaultParagraphFont"/>
    <w:rsid w:val="00FB2816"/>
  </w:style>
  <w:style w:type="paragraph" w:styleId="Revision">
    <w:name w:val="Revision"/>
    <w:hidden/>
    <w:uiPriority w:val="99"/>
    <w:semiHidden/>
    <w:rsid w:val="00E559C6"/>
    <w:rPr>
      <w:sz w:val="24"/>
      <w:szCs w:val="24"/>
    </w:rPr>
  </w:style>
  <w:style w:type="table" w:styleId="TableGrid">
    <w:name w:val="Table Grid"/>
    <w:basedOn w:val="TableNormal"/>
    <w:uiPriority w:val="59"/>
    <w:rsid w:val="00DC134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lcf76f155ced4ddcb4097134ff3c332f xmlns="aae20be9-29ff-4c16-99b5-263b981badec">
      <Terms xmlns="http://schemas.microsoft.com/office/infopath/2007/PartnerControls"/>
    </lcf76f155ced4ddcb4097134ff3c332f>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Notes xmlns="aae20be9-29ff-4c16-99b5-263b981badec"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2026-06-11T15:10:35+00:00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17" ma:contentTypeDescription="Create a new document." ma:contentTypeScope="" ma:versionID="2b8e5c4155f06f4960aefb844b28386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a99917d6f391b4514649591ed699dab6"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SearchProperties" minOccurs="0"/>
                <xsd:element ref="ns5:MediaServiceOCR"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CR" ma:index="41" nillable="true" ma:displayName="Extracted Text" ma:internalName="MediaServiceOCR" ma:readOnly="true">
      <xsd:simpleType>
        <xsd:restriction base="dms:Note">
          <xsd:maxLength value="255"/>
        </xsd:restriction>
      </xsd:simpleType>
    </xsd:element>
    <xsd:element name="Notes" ma:index="4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BB9DA-2F41-4D74-9A22-29D73888782F}">
  <ds:schemaRefs>
    <ds:schemaRef ds:uri="http://schemas.microsoft.com/sharepoint/v3/contenttype/forms"/>
  </ds:schemaRefs>
</ds:datastoreItem>
</file>

<file path=customXml/itemProps2.xml><?xml version="1.0" encoding="utf-8"?>
<ds:datastoreItem xmlns:ds="http://schemas.openxmlformats.org/officeDocument/2006/customXml" ds:itemID="{45A9E6CB-941F-4381-AF6D-4946EA01A66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aae20be9-29ff-4c16-99b5-263b981badec"/>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3760FE89-D865-4D3D-9F87-B319B439D07E}">
  <ds:schemaRefs>
    <ds:schemaRef ds:uri="Microsoft.SharePoint.Taxonomy.ContentTypeSync"/>
  </ds:schemaRefs>
</ds:datastoreItem>
</file>

<file path=customXml/itemProps4.xml><?xml version="1.0" encoding="utf-8"?>
<ds:datastoreItem xmlns:ds="http://schemas.openxmlformats.org/officeDocument/2006/customXml" ds:itemID="{56379F4B-41D0-4399-90D6-4FF4A0559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DC30F-D850-4AC4-AF8D-B4647F3658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EPA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Memorandum of Agreement Between [XXX – State agency] and the US Environmental Protection Agency</dc:title>
  <dc:subject/>
  <dc:creator>ekoch</dc:creator>
  <keywords/>
  <lastModifiedBy>Turk, David</lastModifiedBy>
  <revision>3</revision>
  <lastPrinted>2010-03-11T20:47:00.0000000Z</lastPrinted>
  <dcterms:created xsi:type="dcterms:W3CDTF">2026-07-15T16:14:00.0000000Z</dcterms:created>
  <dcterms:modified xsi:type="dcterms:W3CDTF">2026-07-17T18:23:51.4934184Z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TaxKeyword">
    <vt:lpwstr/>
  </property>
  <property fmtid="{D5CDD505-2E9C-101B-9397-08002B2CF9AE}" pid="4" name="Document_x0020_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Document Type">
    <vt:lpwstr/>
  </property>
</Properties>
</file>